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0942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3"/>
        <w:gridCol w:w="2102"/>
        <w:gridCol w:w="2188"/>
        <w:gridCol w:w="2188"/>
        <w:gridCol w:w="2188"/>
      </w:tblGrid>
      <w:tr>
        <w:trPr>
          <w:trHeight w:val="35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Cs/>
                <w:iCs/>
                <w:lang w:val="ru-RU"/>
              </w:rPr>
            </w:pPr>
            <w:r>
              <w:rPr>
                <w:rFonts w:cs="Times New Roman"/>
                <w:bCs/>
                <w:iCs/>
                <w:lang w:val="ru-RU"/>
              </w:rPr>
              <w:t xml:space="preserve">СПЕЦИФИКАЦИЯ № 2021-004 К КОНТРАКТУ № 2021-001 от 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  <w:bCs/>
                <w:iCs/>
              </w:rPr>
            </w:pPr>
            <w:r>
              <w:rPr>
                <w:rFonts w:cs="Times New Roman"/>
                <w:bCs/>
                <w:iCs/>
              </w:rPr>
              <w:t>SPECIFICATION №1 TO THE CONTRACT              No.2020-006 dated 02.07.2020</w:t>
            </w:r>
          </w:p>
        </w:tc>
      </w:tr>
      <w:tr>
        <w:trPr>
          <w:trHeight w:val="93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Times New Roman"/>
                <w:iCs/>
                <w:lang w:val="ru-RU"/>
              </w:rPr>
              <w:t>Новочеркасск</w:t>
            </w:r>
            <w:r>
              <w:rPr>
                <w:rFonts w:cs="Times New Roman"/>
                <w:iCs/>
              </w:rPr>
              <w:t>, Россия</w:t>
            </w:r>
            <w:r>
              <w:rPr>
                <w:rFonts w:cs="Times New Roman"/>
                <w:iCs/>
                <w:lang w:val="ru-RU"/>
              </w:rPr>
              <w:t xml:space="preserve">                             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sz w:val="24"/>
                <w:szCs w:val="24"/>
                <w:lang w:val="ru-RU" w:eastAsia="ar-SA"/>
              </w:rPr>
            </w:pPr>
            <w:r>
              <w:rPr>
                <w:rFonts w:cs="Times New Roman"/>
                <w:iCs/>
                <w:sz w:val="24"/>
                <w:szCs w:val="24"/>
                <w:lang w:val="ru-RU" w:eastAsia="ar-SA"/>
              </w:rPr>
              <w:t xml:space="preserve"/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 w:before="0" w:after="0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Novocherkassk, Russia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July</w:t>
            </w:r>
            <w:r>
              <w:rPr>
                <w:rFonts w:cs="Times New Roman"/>
                <w:iCs/>
                <w:lang w:val="ru-RU"/>
              </w:rPr>
              <w:t xml:space="preserve"> 0</w:t>
            </w:r>
            <w:r>
              <w:rPr>
                <w:rFonts w:cs="Times New Roman"/>
                <w:iCs/>
              </w:rPr>
              <w:t>2</w:t>
            </w:r>
            <w:r>
              <w:rPr>
                <w:rFonts w:cs="Times New Roman"/>
                <w:iCs/>
                <w:vertAlign w:val="superscript"/>
              </w:rPr>
              <w:t>nd</w:t>
            </w:r>
            <w:r>
              <w:rPr>
                <w:rFonts w:cs="Times New Roman"/>
                <w:iCs/>
              </w:rPr>
              <w:t>,  2020</w:t>
            </w:r>
          </w:p>
        </w:tc>
      </w:tr>
      <w:tr>
        <w:trPr>
          <w:trHeight w:val="3142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Novochikago Alfa Smoke</w:t>
            </w:r>
            <w:r>
              <w:rPr>
                <w:rFonts w:cs="Times New Roman"/>
                <w:lang w:val="ru-RU"/>
              </w:rPr>
              <w:t xml:space="preserve">, в лице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Директор</w:t>
            </w:r>
            <w:r>
              <w:rPr>
                <w:rFonts w:cs="Times New Roman"/>
                <w:lang w:val="ru-RU"/>
              </w:rPr>
              <w:t xml:space="preserve">,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а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Mahmut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Karakurt</w:t>
            </w:r>
            <w:r>
              <w:rPr>
                <w:rFonts w:cs="Times New Roman"/>
                <w:lang w:val="ru-RU"/>
              </w:rPr>
              <w:t xml:space="preserve"> именуемый  в  дальнейшем ПОКУПАТЕЛЬ, с одной стороны, и</w:t>
            </w:r>
            <w:r>
              <w:rPr>
                <w:rFonts w:cs="Times New Roman"/>
                <w:color w:val="000000"/>
                <w:lang w:val="ru-RU"/>
              </w:rPr>
              <w:t xml:space="preserve">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Индивидуальный предприниматель Геркен Павел Вениаминович</w:t>
            </w:r>
            <w:r>
              <w:rPr>
                <w:rFonts w:cs="Times New Roman"/>
                <w:color w:val="000000"/>
                <w:lang w:val="ru-RU"/>
              </w:rPr>
              <w:t xml:space="preserve">, действующий на основании </w:t>
            </w:r>
            <w:r>
              <w:rPr>
                <w:rFonts w:cs="Times New Roman"/>
                <w:color w:val="000000"/>
                <w:sz w:val="24"/>
                <w:szCs w:val="24"/>
                <w:lang w:val="ru-RU" w:eastAsia="ar-SA"/>
              </w:rPr>
              <w:t xml:space="preserve">Свидетельство о регистрации № 455139481 от 17.05.2018 г.</w:t>
            </w:r>
            <w:r>
              <w:rPr>
                <w:rFonts w:cs="Times New Roman"/>
                <w:color w:val="000000"/>
                <w:lang w:val="ru-RU"/>
              </w:rPr>
              <w:t xml:space="preserve">  (ОГРНИП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318619600091</w:t>
            </w:r>
            <w:r>
              <w:rPr>
                <w:rFonts w:cs="Times New Roman"/>
                <w:color w:val="000000"/>
                <w:lang w:val="ru-RU"/>
              </w:rPr>
              <w:t xml:space="preserve">)</w:t>
            </w:r>
            <w:r>
              <w:rPr>
                <w:rFonts w:cs="Times New Roman"/>
                <w:lang w:val="ru-RU"/>
              </w:rPr>
              <w:t xml:space="preserve">, именуемый в дальнейшем ПРОДАВЕЦ, с другой стороны, заключили настоящую спецификацию к контракту № </w:t>
            </w:r>
            <w:r>
              <w:rPr>
                <w:rFonts w:cs="Times New Roman"/>
                <w:bCs/>
                <w:iCs/>
                <w:lang w:val="ru-RU"/>
              </w:rPr>
              <w:t xml:space="preserve">2021-001 </w:t>
            </w:r>
            <w:r>
              <w:rPr>
                <w:rFonts w:cs="Times New Roman"/>
                <w:lang w:val="ru-RU"/>
              </w:rPr>
              <w:t xml:space="preserve">от </w:t>
            </w:r>
            <w:r>
              <w:rPr>
                <w:rFonts w:cs="Times New Roman"/>
                <w:bCs/>
                <w:iCs/>
                <w:lang w:val="ru-RU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(далее по тексту Контракт) о нижеследующем: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/>
            </w:pPr>
            <w:r>
              <w:rPr>
                <w:rFonts w:cs="Times New Roman"/>
              </w:rPr>
              <w:t xml:space="preserve">Karakurt Yesil GbR, represented by General Manager, Mr Mahmet Karakurt, hereinafter referred to as “THE BUYER”, on the one hand, and self -entrepreneur Gerken Elena Alekseevna, acting on the bases of the </w:t>
            </w:r>
            <w:hyperlink r:id="rId2">
              <w:r>
                <w:rPr>
                  <w:color w:val="auto"/>
                  <w:u w:val="none"/>
                </w:rPr>
                <w:t>certificate of state registration of individual entrepreneur</w:t>
              </w:r>
            </w:hyperlink>
            <w:r>
              <w:rPr>
                <w:rFonts w:cs="Times New Roman"/>
              </w:rPr>
              <w:t xml:space="preserve"> No.</w:t>
            </w:r>
            <w:r>
              <w:rPr>
                <w:rFonts w:cs="Times New Roman"/>
                <w:color w:val="000000"/>
              </w:rPr>
              <w:t xml:space="preserve">61 series 007707940  </w:t>
            </w:r>
            <w:r>
              <w:rPr>
                <w:rFonts w:cs="Times New Roman"/>
                <w:color w:val="000000"/>
                <w:lang w:val="ru-RU"/>
              </w:rPr>
              <w:t>от</w:t>
            </w:r>
            <w:r>
              <w:rPr>
                <w:rFonts w:cs="Times New Roman"/>
                <w:color w:val="000000"/>
              </w:rPr>
              <w:t xml:space="preserve"> 24.05.2012 </w:t>
            </w:r>
            <w:r>
              <w:rPr>
                <w:rFonts w:cs="Times New Roman"/>
                <w:color w:val="000000"/>
                <w:lang w:val="ru-RU"/>
              </w:rPr>
              <w:t>г</w:t>
            </w:r>
            <w:r>
              <w:rPr>
                <w:rFonts w:cs="Times New Roman"/>
                <w:color w:val="000000"/>
              </w:rPr>
              <w:t>. (</w:t>
            </w:r>
            <w:r>
              <w:rPr>
                <w:rFonts w:cs="Times New Roman"/>
                <w:color w:val="000000"/>
                <w:lang w:val="ru-RU"/>
              </w:rPr>
              <w:t>ОГРНИП</w:t>
            </w:r>
            <w:r>
              <w:rPr>
                <w:rFonts w:cs="Times New Roman"/>
                <w:color w:val="000000"/>
              </w:rPr>
              <w:t xml:space="preserve"> 318619600091631)</w:t>
            </w:r>
            <w:r>
              <w:rPr>
                <w:rFonts w:cs="Times New Roman"/>
              </w:rPr>
              <w:t xml:space="preserve">   , on the other hand, hereinafter referred to as «THE SELLERS», enter into this Specification to the Contract No. 2020-006 from 02.07.2020   (hereinafter referred to as Contract) as follows:</w:t>
            </w:r>
          </w:p>
        </w:tc>
      </w:tr>
      <w:tr>
        <w:trPr>
          <w:trHeight w:val="34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ЦЕНА И ВАЛЮТА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PRICE AND CURRENCY</w:t>
            </w:r>
          </w:p>
        </w:tc>
      </w:tr>
      <w:tr>
        <w:trPr>
          <w:trHeight w:val="2223" w:hRule="atLeast"/>
        </w:trPr>
        <w:tc>
          <w:tcPr>
            <w:tcW w:w="10941" w:type="dxa"/>
            <w:gridSpan w:val="2"/>
            <w:tcBorders/>
          </w:tcPr>
          <w:tbl>
            <w:tblPr>
              <w:tblW w:w="10429" w:type="dxa"/>
              <w:jc w:val="left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4765"/>
              <w:gridCol w:w="263"/>
              <w:gridCol w:w="749"/>
              <w:gridCol w:w="20"/>
              <w:gridCol w:w="221"/>
              <w:gridCol w:w="772"/>
              <w:gridCol w:w="13"/>
              <w:gridCol w:w="206"/>
              <w:gridCol w:w="1609"/>
              <w:gridCol w:w="16"/>
              <w:gridCol w:w="225"/>
              <w:gridCol w:w="1570"/>
            </w:tblGrid>
            <w:tr>
              <w:trPr>
                <w:trHeight w:val="1980" w:hRule="atLeast"/>
              </w:trPr>
              <w:tc>
                <w:tcPr>
                  <w:tcW w:w="4765" w:type="dxa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Наименование (ассортимент)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Description</w:t>
                  </w:r>
                </w:p>
              </w:tc>
              <w:tc>
                <w:tcPr>
                  <w:tcW w:w="1032" w:type="dxa"/>
                  <w:gridSpan w:val="3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Ед.изм.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</w:p>
              </w:tc>
              <w:tc>
                <w:tcPr>
                  <w:tcW w:w="993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Кол-во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Q-ty</w:t>
                  </w:r>
                </w:p>
              </w:tc>
              <w:tc>
                <w:tcPr>
                  <w:tcW w:w="1844" w:type="dxa"/>
                  <w:gridSpan w:val="4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Цена за штуку в 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Unit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price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>EURO</w:t>
                  </w:r>
                </w:p>
              </w:tc>
              <w:tc>
                <w:tcPr>
                  <w:tcW w:w="179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4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Сумма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>в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  <w:lang w:val="ru-RU"/>
                    </w:rPr>
                    <w:t xml:space="preserve">Доллар США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i/>
                      <w:i/>
                      <w:iCs/>
                      <w:color w:val="000000"/>
                    </w:rPr>
                  </w:pPr>
                  <w:r>
                    <w:rPr>
                      <w:rFonts w:cs="Times New Roman"/>
                      <w:b/>
                      <w:bCs/>
                      <w:i/>
                      <w:iCs/>
                      <w:color w:val="000000"/>
                    </w:rPr>
                    <w:t xml:space="preserve">Total price, EURO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Описание продукции на русском, описание продукции на русском,, описание продукции на русском, описание продукции на русском, описание продукции на русском</w:t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16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5500.00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91666.67</w:t>
                  </w:r>
                </w:p>
              </w:tc>
            </w:tr>
            <w:tr>
              <w:trPr/>
              <w:tc>
                <w:tcPr>
                  <w:tcW w:w="4765" w:type="dxa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Описание продукции на русском, описание продукции на русском,, описание продукции на русском, описание продукции на русском, описание продукции на русском</w:t>
                  </w:r>
                </w:p>
                <w:p>
                  <w:pPr>
                    <w:pStyle w:val="Obsahtabulky"/>
                    <w:widowControl w:val="false"/>
                    <w:jc w:val="center"/>
                    <w:rPr>
                      <w:rFonts w:eastAsia="SimSun" w:cs="Times New Roman"/>
                      <w:b/>
                      <w:b/>
                      <w:bCs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</w:pPr>
                  <w:r>
                    <w:rPr/>
                  </w:r>
                </w:p>
              </w:tc>
              <w:tc>
                <w:tcPr>
                  <w:tcW w:w="1012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spacing w:before="0" w:after="0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>шт.</w:t>
                  </w:r>
                </w:p>
              </w:tc>
              <w:tc>
                <w:tcPr>
                  <w:tcW w:w="1026" w:type="dxa"/>
                  <w:gridSpan w:val="4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16</w:t>
                  </w:r>
                </w:p>
              </w:tc>
              <w:tc>
                <w:tcPr>
                  <w:tcW w:w="1815" w:type="dxa"/>
                  <w:gridSpan w:val="2"/>
                  <w:tcBorders>
                    <w:left w:val="single" w:sz="8" w:space="0" w:color="000001"/>
                    <w:bottom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500.00</w:t>
                  </w:r>
                </w:p>
              </w:tc>
              <w:tc>
                <w:tcPr>
                  <w:tcW w:w="1811" w:type="dxa"/>
                  <w:gridSpan w:val="3"/>
                  <w:tcBorders>
                    <w:left w:val="single" w:sz="8" w:space="0" w:color="000001"/>
                    <w:bottom w:val="single" w:sz="8" w:space="0" w:color="000001"/>
                    <w:right w:val="single" w:sz="8" w:space="0" w:color="000001"/>
                  </w:tcBorders>
                </w:tcPr>
                <w:p>
                  <w:pPr>
                    <w:pStyle w:val="Obsahtabulky"/>
                    <w:widowControl w:val="false"/>
                    <w:jc w:val="center"/>
                    <w:rPr/>
                  </w:pPr>
                  <w:r>
                    <w:rPr>
                      <w:rFonts w:eastAsia="SimSun" w:cs="Times New Roman"/>
                      <w:color w:val="auto"/>
                      <w:kern w:val="0"/>
                      <w:sz w:val="24"/>
                      <w:szCs w:val="24"/>
                      <w:lang w:val="en-GB" w:eastAsia="ar-SA" w:bidi="ar-SA"/>
                    </w:rPr>
                    <w:t xml:space="preserve">8333.33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lang w:val="ru-RU" w:eastAsia="ru-RU"/>
                    </w:rPr>
                    <w:t xml:space="preserve">Ставка НДС / </w:t>
                  </w:r>
                  <w:r>
                    <w:rPr>
                      <w:rFonts w:cs="Times New Roman"/>
                      <w:lang w:eastAsia="ru-RU"/>
                    </w:rPr>
                    <w:t>VAT Fee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</w:r>
                </w:p>
              </w:tc>
              <w:tc>
                <w:tcPr>
                  <w:tcW w:w="1570" w:type="dxa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0,00</w:t>
                  </w:r>
                </w:p>
              </w:tc>
            </w:tr>
            <w:tr>
              <w:trPr>
                <w:trHeight w:val="442" w:hRule="atLeast"/>
              </w:trPr>
              <w:tc>
                <w:tcPr>
                  <w:tcW w:w="5028" w:type="dxa"/>
                  <w:gridSpan w:val="2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b/>
                      <w:b/>
                      <w:bCs/>
                      <w:color w:val="000000"/>
                      <w:lang w:val="ru-RU"/>
                    </w:rPr>
                  </w:pP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Всего к оплате, евро</w:t>
                  </w:r>
                </w:p>
                <w:p>
                  <w:pPr>
                    <w:pStyle w:val="Normal"/>
                    <w:widowControl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b/>
                      <w:bCs/>
                      <w:color w:val="000000"/>
                    </w:rPr>
                    <w:t>Total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Sum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 xml:space="preserve">, </w:t>
                  </w:r>
                  <w:r>
                    <w:rPr>
                      <w:rFonts w:cs="Times New Roman"/>
                      <w:b/>
                      <w:bCs/>
                      <w:color w:val="000000"/>
                    </w:rPr>
                    <w:t>EURO</w:t>
                  </w:r>
                  <w:r>
                    <w:rPr>
                      <w:rFonts w:cs="Times New Roman"/>
                      <w:b/>
                      <w:bCs/>
                      <w:color w:val="000000"/>
                      <w:lang w:val="ru-RU"/>
                    </w:rPr>
                    <w:t>:</w:t>
                  </w:r>
                </w:p>
              </w:tc>
              <w:tc>
                <w:tcPr>
                  <w:tcW w:w="99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991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850" w:type="dxa"/>
                  <w:gridSpan w:val="3"/>
                  <w:tcBorders>
                    <w:top w:val="single" w:sz="4" w:space="0" w:color="000000"/>
                    <w:left w:val="single" w:sz="8" w:space="0" w:color="000000"/>
                    <w:bottom w:val="single" w:sz="8" w:space="0" w:color="000000"/>
                  </w:tcBorders>
                  <w:vAlign w:val="bottom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rPr>
                      <w:rFonts w:cs="Times New Roman"/>
                      <w:color w:val="000000"/>
                    </w:rPr>
                  </w:pPr>
                  <w:r>
                    <w:rPr>
                      <w:rFonts w:cs="Times New Roman"/>
                      <w:color w:val="000000"/>
                    </w:rPr>
                    <w:t> </w:t>
                  </w:r>
                </w:p>
              </w:tc>
              <w:tc>
                <w:tcPr>
                  <w:tcW w:w="1570" w:type="dxa"/>
                  <w:tcBorders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>
                  <w:pPr>
                    <w:pStyle w:val="Normal"/>
                    <w:widowControl w:val="false"/>
                    <w:snapToGrid w:val="false"/>
                    <w:spacing w:lineRule="auto" w:line="240" w:before="0" w:after="0"/>
                    <w:jc w:val="center"/>
                    <w:rPr/>
                  </w:pPr>
                  <w:r>
                    <w:rPr>
                      <w:rFonts w:cs="Times New Roman"/>
                      <w:color w:val="000000"/>
                      <w:lang w:val="ru-RU"/>
                    </w:rPr>
                    <w:t xml:space="preserve"> </w:t>
                  </w:r>
                  <w:r>
                    <w:rPr>
                      <w:rFonts w:cs="Times New Roman"/>
                      <w:color w:val="000000"/>
                      <w:sz w:val="24"/>
                      <w:szCs w:val="24"/>
                      <w:lang w:val="en-GB" w:eastAsia="ar-SA"/>
                    </w:rPr>
                    <w:t xml:space="preserve">100000.00</w:t>
                  </w:r>
                </w:p>
              </w:tc>
            </w:tr>
          </w:tbl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>
          <w:trHeight w:val="1700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 xml:space="preserve">ОПЛАТА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Оплата за товар производится в следующем порядке: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>Покупатель платит 70%, затем в указанную дату оплачивает оставшиеся 30%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ind w:left="180" w:right="0" w:hanging="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ind w:left="180" w:right="0" w:hanging="0"/>
              <w:rPr/>
            </w:pPr>
            <w:r>
              <w:rPr>
                <w:rFonts w:cs="Times New Roman"/>
                <w:b/>
                <w:bCs/>
              </w:rPr>
              <w:t>PAYMENT</w:t>
            </w:r>
            <w:r>
              <w:rPr>
                <w:rFonts w:cs="Times New Roman"/>
              </w:rPr>
              <w:t xml:space="preserve"> 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 xml:space="preserve">Payment for product should be made as the following: 50% of product cost as an advance payment, 25% of product after product readiness for shipment and the rest 25% within 5 working days since the moment of coming the goods to the Buyer’s warehouse.  </w:t>
            </w:r>
          </w:p>
        </w:tc>
      </w:tr>
      <w:tr>
        <w:trPr>
          <w:trHeight w:val="2247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  <w:lang w:val="ru-RU"/>
              </w:rPr>
            </w:pPr>
            <w:r>
              <w:rPr>
                <w:rFonts w:cs="Times New Roman"/>
                <w:b/>
                <w:bCs/>
                <w:lang w:val="ru-RU"/>
              </w:rPr>
              <w:t>ПОСТАВКА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Осуществляется на условиях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EXW</w:t>
            </w:r>
            <w:r>
              <w:rPr>
                <w:rFonts w:cs="Times New Roman"/>
                <w:lang w:val="ru-RU"/>
              </w:rPr>
              <w:t xml:space="preserve"> г.Кёльн, Германия согласно (ИНКОТЕРМС 2010)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Срок поставки: </w:t>
            </w:r>
            <w:r>
              <w:rPr>
                <w:rFonts w:cs="Times New Roman"/>
                <w:sz w:val="24"/>
                <w:szCs w:val="24"/>
                <w:lang w:val="ru-RU" w:eastAsia="ar-SA"/>
              </w:rPr>
              <w:t xml:space="preserve"/>
            </w:r>
            <w:r>
              <w:rPr>
                <w:rFonts w:cs="Times New Roman"/>
                <w:lang w:val="ru-RU"/>
              </w:rPr>
              <w:t xml:space="preserve"> календарных дней с момента получения Продавцом копии банковского документа, подтверждающего перечисления аванса на р/с Продавца.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b/>
                <w:b/>
                <w:bCs/>
              </w:rPr>
            </w:pPr>
            <w:r>
              <w:rPr>
                <w:rFonts w:cs="Times New Roman"/>
                <w:b/>
                <w:bCs/>
              </w:rPr>
              <w:t>DELIVERY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</w:rPr>
              <w:t>Delivery is fulfilled DDP Cologne city (Germany),</w:t>
            </w:r>
            <w:bookmarkStart w:id="2" w:name="_GoBack"/>
            <w:bookmarkEnd w:id="2"/>
            <w:r>
              <w:rPr>
                <w:rFonts w:cs="Times New Roman"/>
              </w:rPr>
              <w:t xml:space="preserve"> according to the (INKOTERMS 2010)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</w:rPr>
            </w:pPr>
            <w:r>
              <w:rPr>
                <w:rFonts w:cs="Times New Roman"/>
              </w:rPr>
              <w:t>Delivery time: 15 calendar days after The Seller receives copy of bank documents indicates buyer paid prepayment.</w:t>
            </w:r>
          </w:p>
        </w:tc>
      </w:tr>
      <w:tr>
        <w:trPr>
          <w:trHeight w:val="130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lang w:val="ru-RU"/>
              </w:rPr>
              <w:t xml:space="preserve">Настоящая спецификация вступает в действие с момента подписания и является неотъемлемой частью </w:t>
            </w:r>
            <w:r>
              <w:rPr>
                <w:rFonts w:cs="Times New Roman"/>
              </w:rPr>
              <w:t>Контракта №</w:t>
            </w:r>
            <w:r>
              <w:rPr>
                <w:rFonts w:cs="Times New Roman"/>
                <w:lang w:val="ru-RU"/>
              </w:rPr>
              <w:t xml:space="preserve"> </w:t>
            </w:r>
            <w:r>
              <w:rPr>
                <w:rFonts w:cs="Times New Roman"/>
                <w:bCs/>
                <w:iCs/>
                <w:lang w:val="ru-RU"/>
              </w:rPr>
              <w:t xml:space="preserve">2021-001</w:t>
            </w:r>
            <w:r>
              <w:rPr>
                <w:rFonts w:cs="Times New Roman"/>
                <w:lang w:val="ru-RU"/>
              </w:rPr>
              <w:t xml:space="preserve"> от </w:t>
            </w:r>
            <w:r>
              <w:rPr>
                <w:rFonts w:cs="Times New Roman"/>
                <w:bCs/>
                <w:iCs/>
                <w:lang w:val="ru-RU"/>
              </w:rPr>
              <w:t xml:space="preserve">.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shall enter into force upon its signing and is an integral part of the Contract No. 2020-006 dated 02.07.2020.</w:t>
            </w:r>
          </w:p>
        </w:tc>
      </w:tr>
      <w:tr>
        <w:trPr>
          <w:trHeight w:val="1071" w:hRule="atLeast"/>
        </w:trPr>
        <w:tc>
          <w:tcPr>
            <w:tcW w:w="5684" w:type="dxa"/>
            <w:tcBorders/>
          </w:tcPr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Настоящая спецификация составлена в двух экземплярах, на английском и русском языках и имеет одинаковую юридическую силу для обеих сторон.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ListParagraph"/>
              <w:widowControl w:val="false"/>
              <w:tabs>
                <w:tab w:val="clear" w:pos="709"/>
                <w:tab w:val="left" w:pos="0" w:leader="none"/>
              </w:tabs>
              <w:spacing w:lineRule="auto" w:line="240" w:before="0" w:after="0"/>
              <w:ind w:left="0" w:right="0" w:hanging="0"/>
              <w:jc w:val="both"/>
              <w:rPr/>
            </w:pPr>
            <w:r>
              <w:rPr>
                <w:rFonts w:cs="Times New Roman"/>
              </w:rPr>
              <w:t xml:space="preserve">_______________________   </w:t>
            </w:r>
            <w:r>
              <w:rPr>
                <w:rFonts w:cs="Times New Roman"/>
                <w:color w:val="000000"/>
                <w:sz w:val="24"/>
                <w:szCs w:val="24"/>
                <w:lang w:val="en-GB" w:eastAsia="ar-SA"/>
              </w:rPr>
              <w:t xml:space="preserve">Индивидуальный предприниматель Геркен Павел Вениаминович</w:t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 xml:space="preserve">        </w:t>
            </w:r>
            <w:r>
              <w:rPr>
                <w:rFonts w:cs="Times New Roman"/>
                <w:lang w:val="ru-RU"/>
              </w:rPr>
              <w:tab/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cs="Times New Roman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  <w:t>ПОКУПАТЕЛЬ: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ru-RU"/>
              </w:rPr>
            </w:pPr>
            <w:r>
              <w:rPr>
                <w:rFonts w:cs="Times New Roman"/>
                <w:iCs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ru-RU"/>
              </w:rPr>
            </w:pPr>
            <w:r>
              <w:rPr>
                <w:rFonts w:cs="Times New Roman"/>
                <w:i/>
                <w:iCs/>
                <w:u w:val="single"/>
                <w:lang w:val="ru-RU"/>
              </w:rPr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/>
                <w:iCs/>
                <w:u w:val="single"/>
                <w:lang w:val="ru-RU"/>
              </w:rPr>
              <w:t xml:space="preserve"> </w:t>
            </w:r>
            <w:r>
              <w:rPr>
                <w:rFonts w:cs="Times New Roman"/>
              </w:rPr>
              <w:t xml:space="preserve">_______________ 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/>
            </w:r>
            <w:r>
              <w:rPr>
                <w:rFonts w:cs="Times New Roman"/>
              </w:rPr>
              <w:t xml:space="preserve">./ </w:t>
            </w:r>
            <w:r>
              <w:rPr>
                <w:rFonts w:cs="Times New Roman"/>
                <w:sz w:val="24"/>
                <w:szCs w:val="24"/>
                <w:lang w:val="en-GB" w:eastAsia="ar-SA"/>
              </w:rPr>
              <w:t xml:space="preserve">Karakurt</w:t>
            </w:r>
          </w:p>
        </w:tc>
        <w:tc>
          <w:tcPr>
            <w:tcW w:w="5257" w:type="dxa"/>
            <w:tcBorders/>
          </w:tcPr>
          <w:p>
            <w:pPr>
              <w:pStyle w:val="Normal"/>
              <w:widowControl w:val="false"/>
              <w:spacing w:lineRule="auto" w:line="24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This Specification is made in two copies in English and Russian languages and has equal legal force for both parties.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  <w:t>THE SELLER: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Cs/>
                <w:lang w:val="de-DE"/>
              </w:rPr>
            </w:pPr>
            <w:r>
              <w:rPr>
                <w:rFonts w:cs="Times New Roman"/>
                <w:iCs/>
                <w:lang w:val="de-D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  <w:lang w:val="de-DE"/>
              </w:rPr>
            </w:pPr>
            <w:r>
              <w:rPr>
                <w:rFonts w:cs="Times New Roman"/>
                <w:i/>
                <w:iCs/>
                <w:u w:val="single"/>
                <w:lang w:val="de-DE"/>
              </w:rPr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_____________        Private entrepreneur/Gerken E.A </w:t>
            </w:r>
          </w:p>
          <w:p>
            <w:pPr>
              <w:pStyle w:val="Normal"/>
              <w:widowControl w:val="false"/>
              <w:rPr>
                <w:rFonts w:cs="Times New Roman"/>
                <w:lang w:val="de-DE"/>
              </w:rPr>
            </w:pPr>
            <w:r>
              <w:rPr>
                <w:rFonts w:cs="Times New Roman"/>
                <w:lang w:val="de-DE"/>
              </w:rPr>
              <w:t xml:space="preserve">          </w:t>
            </w:r>
          </w:p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cs="Times New Roman"/>
                <w:iCs/>
              </w:rPr>
              <w:t>THE BUYER</w:t>
            </w:r>
            <w:r>
              <w:rPr>
                <w:rFonts w:cs="Times New Roman"/>
              </w:rPr>
              <w:t>:</w:t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spacing w:lineRule="auto" w:line="240"/>
              <w:rPr>
                <w:rFonts w:ascii="Times New Roman" w:hAnsi="Times New Roman" w:cs="Times New Roman"/>
                <w:i/>
                <w:i/>
                <w:iCs/>
                <w:u w:val="single"/>
              </w:rPr>
            </w:pPr>
            <w:r>
              <w:rPr>
                <w:rFonts w:cs="Times New Roman"/>
                <w:i/>
                <w:iCs/>
                <w:u w:val="single"/>
              </w:rPr>
            </w:r>
          </w:p>
          <w:p>
            <w:pPr>
              <w:pStyle w:val="Normal"/>
              <w:widowControl w:val="false"/>
              <w:rPr>
                <w:rFonts w:cs="Times New Roman"/>
              </w:rPr>
            </w:pPr>
            <w:r>
              <w:rPr>
                <w:rFonts w:cs="Times New Roman"/>
              </w:rPr>
              <w:t>_________________ Mr./ Karakurt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p>
      <w:pPr>
        <w:pStyle w:val="Normal"/>
        <w:rPr/>
      </w:pPr>
      <w:r>
        <w:rPr/>
      </w:r>
    </w:p>
    <w:sectPr>
      <w:headerReference w:type="default" r:id="rId3"/>
      <w:type w:val="nextPage"/>
      <w:pgSz w:w="12240" w:h="15840"/>
      <w:pgMar w:left="720" w:right="539" w:header="720" w:top="777" w:footer="0" w:bottom="53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5"/>
      <w:jc w:val="center"/>
      <w:rPr/>
    </w:pPr>
    <w:r>
      <w:rPr/>
      <w:t xml:space="preserve">Page </w:t>
    </w:r>
    <w:r>
      <w:rPr>
        <w:b/>
        <w:bCs/>
      </w:rPr>
      <w:fldChar w:fldCharType="begin"/>
    </w:r>
    <w:r>
      <w:rPr>
        <w:b/>
        <w:bCs/>
      </w:rPr>
      <w:instrText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rPr/>
      <w:t xml:space="preserve"> of </w:t>
    </w:r>
    <w:r>
      <w:rPr>
        <w:b/>
        <w:bCs/>
      </w:rPr>
      <w:fldChar w:fldCharType="begin"/>
    </w:r>
    <w:r>
      <w:rPr>
        <w:b/>
        <w:bCs/>
      </w:rPr>
      <w:instrText> NUMPAGES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>
    <w:pPr>
      <w:pStyle w:val="Style25"/>
      <w:rPr/>
    </w:pPr>
    <w:r>
      <w:rPr/>
    </w:r>
  </w:p>
</w:hdr>
</file>

<file path=word/settings.xml><?xml version="1.0" encoding="utf-8"?>
<w:settings xmlns:w="http://schemas.openxmlformats.org/wordprocessingml/2006/main">
  <w:zoom w:percent="190"/>
  <w:embedSystemFonts/>
  <w:defaultTabStop w:val="720"/>
  <w:autoHyphenation w:val="true"/>
  <w:doNotHyphenateCaps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imes New Roman"/>
        <w:sz w:val="22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left" w:pos="709" w:leader="none"/>
      </w:tabs>
      <w:suppressAutoHyphens w:val="true"/>
      <w:overflowPunct w:val="true"/>
      <w:bidi w:val="0"/>
      <w:spacing w:lineRule="atLeast" w:line="100" w:before="0" w:after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GB" w:eastAsia="ar-SA" w:bidi="ar-SA"/>
    </w:rPr>
  </w:style>
  <w:style w:type="character" w:styleId="DefaultParagraphFont">
    <w:name w:val="Default Paragraph Font"/>
    <w:qFormat/>
    <w:rPr/>
  </w:style>
  <w:style w:type="character" w:styleId="Style14">
    <w:name w:val="Верхний колонтитул Знак"/>
    <w:qFormat/>
    <w:rPr>
      <w:rFonts w:cs="Times New Roman"/>
    </w:rPr>
  </w:style>
  <w:style w:type="character" w:styleId="Style15">
    <w:name w:val="Нижний колонтитул Знак"/>
    <w:qFormat/>
    <w:rPr>
      <w:rFonts w:cs="Times New Roman"/>
    </w:rPr>
  </w:style>
  <w:style w:type="character" w:styleId="FooterChar1">
    <w:name w:val="Footer Char1"/>
    <w:qFormat/>
    <w:rPr/>
  </w:style>
  <w:style w:type="character" w:styleId="Il">
    <w:name w:val="il"/>
    <w:qFormat/>
    <w:rPr/>
  </w:style>
  <w:style w:type="character" w:styleId="Style16">
    <w:name w:val="Интернет-ссылка"/>
    <w:rPr>
      <w:rFonts w:cs="Times New Roman"/>
      <w:color w:val="0000FF"/>
      <w:u w:val="single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Style17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Style18">
    <w:name w:val="Текст выноски Знак"/>
    <w:basedOn w:val="DefaultParagraphFont"/>
    <w:qFormat/>
    <w:rPr>
      <w:rFonts w:ascii="Segoe UI" w:hAnsi="Segoe UI" w:cs="Segoe UI"/>
      <w:sz w:val="18"/>
      <w:szCs w:val="18"/>
      <w:lang w:val="en-US" w:eastAsia="zh-CN"/>
    </w:rPr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20">
    <w:name w:val="Body Text"/>
    <w:basedOn w:val="Normal"/>
    <w:pPr>
      <w:tabs>
        <w:tab w:val="left" w:pos="360" w:leader="none"/>
        <w:tab w:val="left" w:pos="709" w:leader="none"/>
      </w:tabs>
      <w:spacing w:before="60" w:after="60"/>
      <w:jc w:val="both"/>
    </w:pPr>
    <w:rPr>
      <w:rFonts w:ascii="Arial" w:hAnsi="Arial"/>
      <w:szCs w:val="20"/>
      <w:lang w:val="en-US"/>
    </w:rPr>
  </w:style>
  <w:style w:type="paragraph" w:styleId="Style21">
    <w:name w:val="List"/>
    <w:basedOn w:val="Style20"/>
    <w:pPr/>
    <w:rPr>
      <w:rFonts w:cs="Lohit Devanagari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ohit Devanagari"/>
    </w:rPr>
  </w:style>
  <w:style w:type="paragraph" w:styleId="Style24">
    <w:name w:val="Верхний и нижний колонтитулы"/>
    <w:basedOn w:val="Normal"/>
    <w:qFormat/>
    <w:pPr/>
    <w:rPr/>
  </w:style>
  <w:style w:type="paragraph" w:styleId="Style25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Style26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>
      <w:rFonts w:cs="Times New Roman"/>
      <w:sz w:val="20"/>
      <w:szCs w:val="20"/>
      <w:lang w:val="ru-RU" w:eastAsia="ru-RU"/>
    </w:rPr>
  </w:style>
  <w:style w:type="paragraph" w:styleId="1">
    <w:name w:val="Заголовок1"/>
    <w:basedOn w:val="Normal"/>
    <w:next w:val="Style20"/>
    <w:qFormat/>
    <w:pPr>
      <w:keepNext w:val="true"/>
      <w:spacing w:before="240" w:after="120"/>
    </w:pPr>
    <w:rPr>
      <w:rFonts w:ascii="Arial" w:hAnsi="Arial" w:cs="Arial"/>
      <w:sz w:val="28"/>
      <w:szCs w:val="28"/>
    </w:rPr>
  </w:style>
  <w:style w:type="paragraph" w:styleId="11">
    <w:name w:val="Текст1"/>
    <w:basedOn w:val="Normal"/>
    <w:qFormat/>
    <w:pPr/>
    <w:rPr/>
  </w:style>
  <w:style w:type="paragraph" w:styleId="ListParagraph">
    <w:name w:val="List Paragraph"/>
    <w:basedOn w:val="Normal"/>
    <w:qFormat/>
    <w:pPr>
      <w:spacing w:lineRule="auto" w:line="259" w:before="0" w:after="160"/>
      <w:ind w:left="720" w:right="0" w:hanging="0"/>
    </w:pPr>
    <w:rPr>
      <w:lang w:val="ru-RU" w:eastAsia="en-US"/>
    </w:rPr>
  </w:style>
  <w:style w:type="paragraph" w:styleId="BalloonText">
    <w:name w:val="Balloon Text"/>
    <w:basedOn w:val="Normal"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7">
    <w:name w:val="Содержимое таблицы"/>
    <w:basedOn w:val="Normal"/>
    <w:qFormat/>
    <w:pPr>
      <w:suppressLineNumbers/>
    </w:pPr>
    <w:rPr/>
  </w:style>
  <w:style w:type="paragraph" w:styleId="Style28">
    <w:name w:val="Заголовок таблицы"/>
    <w:basedOn w:val="Style27"/>
    <w:qFormat/>
    <w:pPr>
      <w:suppressLineNumbers/>
      <w:jc w:val="center"/>
    </w:pPr>
    <w:rPr>
      <w:b/>
      <w:bCs/>
    </w:rPr>
  </w:style>
  <w:style w:type="paragraph" w:styleId="Style29">
    <w:name w:val="Содержимое врезки"/>
    <w:basedOn w:val="Normal"/>
    <w:qFormat/>
    <w:pPr/>
    <w:rPr/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>
    <w:name w:val="No List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ultitran.ru/c/m.exe?t=6385693_1_2&amp;s1=%F1%E2%E8%E4%E5%F2%E5%EB%FC%F1%F2%E2%EE %EE %E3%EE%F1%F3%E4%E0%F0%F1%F2%E2%E5%ED%ED%EE%E9 %F0%E5%E3%E8%F1%F2%F0%E0%F6%E8%E8 %E2 %EA%E0%F7%E5%F1%F2%E2%E5 %E8%ED%E4%E8%E2%E8%E4%F3%E0%EB%FC%ED%EE%E3%EE %EF%F0%E5%E4%EF%F0%E8%ED%E8%EC%E0%F2%E5%EB%FF" TargetMode="External"/><Relationship Id="rId3" Type="http://schemas.openxmlformats.org/officeDocument/2006/relationships/header" Target="header1.xml"/><Relationship Id="rId4" Type="http://schemas.openxmlformats.org/officeDocument/2006/relationships/fontTable" Target="fontTable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Application>LibreOffice/7.1.0.3$Windows_X86_64 LibreOffice_project/f6099ecf3d29644b5008cc8f48f42f4a40986e4c</Application>
  <AppVersion>15.0000</AppVersion>
  <DocSecurity>0</DocSecurity>
  <Pages>2</Pages>
  <Words>469</Words>
  <Characters>2994</Characters>
  <CharactersWithSpaces>3499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2020-05-04T19:31:00Z</dcterms:created>
  <dc:creator>Bugs Bunny</dc:creator>
  <dc:description/>
  <dc:language>ru-RU</dc:language>
  <cp:lastModifiedBy/>
  <cp:lastPrinted>2020-07-03T11:22:00Z</cp:lastPrinted>
  <dcterms:modified xsi:type="dcterms:W3CDTF">2021-03-17T21:59:36Z</dcterms:modified>
  <cp:revision>37</cp:revision>
  <dc:subject/>
  <dc:title>КОНТРАКТ № 35-ТД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