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keepNext w:val="false"/>
        <w:keepLines w:val="false"/>
        <w:widowControl w:val="false"/>
        <w:pBdr/>
        <w:shd w:val="clear" w:fill="auto"/>
        <w:spacing w:lineRule="auto" w:line="276" w:before="0" w:after="0"/>
        <w:ind w:left="0" w:right="0" w:hanging="0"/>
        <w:jc w:val="left"/>
        <w:rPr>
          <w:rFonts w:ascii="Arial" w:hAnsi="Arial" w:eastAsia="Arial" w:cs="Arial"/>
          <w:b w:val="false"/>
          <w:b w:val="false"/>
          <w:i w:val="false"/>
          <w:i w:val="false"/>
          <w:caps w:val="false"/>
          <w:smallCaps w:val="false"/>
          <w:strike w:val="false"/>
          <w:dstrike w:val="false"/>
          <w:color w:val="000000"/>
          <w:position w:val="0"/>
          <w:sz w:val="24"/>
          <w:sz w:val="22"/>
          <w:szCs w:val="22"/>
          <w:u w:val="none"/>
          <w:shd w:fill="auto" w:val="clear"/>
          <w:vertAlign w:val="baseline"/>
        </w:rPr>
      </w:pPr>
      <w:r>
        <w:rPr>
          <w:rFonts w:eastAsia="Arial" w:cs="Arial" w:ascii="Arial" w:hAnsi="Arial"/>
        </w:rPr>
        <w:t>.</w:t>
      </w:r>
    </w:p>
    <w:tbl>
      <w:tblPr>
        <w:tblStyle w:val="Table1"/>
        <w:tblW w:w="10654" w:type="dxa"/>
        <w:jc w:val="left"/>
        <w:tblInd w:w="-106" w:type="dxa"/>
        <w:tblLayout w:type="fixed"/>
        <w:tblCellMar>
          <w:top w:w="0" w:type="dxa"/>
          <w:left w:w="108" w:type="dxa"/>
          <w:bottom w:w="0" w:type="dxa"/>
          <w:right w:w="108" w:type="dxa"/>
        </w:tblCellMar>
        <w:tblLook w:val="0000"/>
      </w:tblPr>
      <w:tblGrid>
        <w:gridCol w:w="5433"/>
        <w:gridCol w:w="5220"/>
      </w:tblGrid>
      <w:tr>
        <w:trPr>
          <w:trHeight w:val="1387" w:hRule="atLeast"/>
        </w:trPr>
        <w:tc>
          <w:tcPr>
            <w:tcW w:w="10653" w:type="dxa"/>
            <w:gridSpan w:val="2"/>
            <w:tcBorders/>
          </w:tcPr>
          <w:p>
            <w:pPr>
              <w:pStyle w:val="Normal"/>
              <w:widowControl w:val="false"/>
              <w:spacing w:lineRule="auto" w:line="240" w:before="0" w:after="0"/>
              <w:ind w:left="851" w:hanging="0"/>
              <w:jc w:val="center"/>
              <w:rPr>
                <w:rFonts w:ascii="Times New Roman" w:hAnsi="Times New Roman" w:eastAsia="Times New Roman" w:cs="Times New Roman"/>
                <w:b/>
                <w:b/>
                <w:sz w:val="24"/>
                <w:szCs w:val="24"/>
                <w:highlight w:val="yellow"/>
              </w:rPr>
            </w:pPr>
            <w:r>
              <w:rPr>
                <w:rFonts w:eastAsia="Times New Roman" w:cs="Times New Roman"/>
                <w:b/>
                <w:sz w:val="24"/>
                <w:szCs w:val="24"/>
              </w:rPr>
              <w:t>SUPPLY CONTRACT №{{ number }}</w:t>
            </w:r>
          </w:p>
          <w:p>
            <w:pPr>
              <w:pStyle w:val="Normal"/>
              <w:widowControl w:val="false"/>
              <w:spacing w:lineRule="auto" w:line="240" w:before="0" w:after="0"/>
              <w:ind w:left="851" w:hanging="0"/>
              <w:jc w:val="center"/>
              <w:rPr>
                <w:rFonts w:ascii="Times New Roman" w:hAnsi="Times New Roman" w:eastAsia="Times New Roman" w:cs="Times New Roman"/>
                <w:b/>
                <w:b/>
                <w:sz w:val="24"/>
                <w:szCs w:val="24"/>
                <w:highlight w:val="yellow"/>
              </w:rPr>
            </w:pPr>
            <w:r>
              <w:rPr>
                <w:rFonts w:eastAsia="Times New Roman" w:cs="Times New Roman"/>
                <w:b/>
                <w:sz w:val="24"/>
                <w:szCs w:val="24"/>
              </w:rPr>
              <w:t>ДОГОВОР ПОСТАВКИ №{{ number }}</w:t>
            </w:r>
          </w:p>
          <w:p>
            <w:pPr>
              <w:pStyle w:val="Normal"/>
              <w:widowControl w:val="false"/>
              <w:spacing w:lineRule="auto" w:line="240" w:before="0" w:after="0"/>
              <w:ind w:left="851" w:hanging="0"/>
              <w:jc w:val="center"/>
              <w:rPr>
                <w:rFonts w:ascii="Times New Roman" w:hAnsi="Times New Roman" w:eastAsia="Times New Roman" w:cs="Times New Roman"/>
                <w:b/>
                <w:b/>
                <w:sz w:val="24"/>
                <w:szCs w:val="24"/>
              </w:rPr>
            </w:pPr>
            <w:r>
              <w:rPr>
                <w:rFonts w:eastAsia="Times New Roman" w:cs="Times New Roman"/>
                <w:b/>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Novocherkassk/ Новочеркасск</w:t>
            </w:r>
            <w:r>
              <w:rPr>
                <w:rFonts w:eastAsia="Times New Roman" w:cs="Times New Roman"/>
                <w:b/>
                <w:sz w:val="24"/>
                <w:szCs w:val="24"/>
              </w:rPr>
              <w:tab/>
            </w:r>
            <w:r>
              <w:rPr>
                <w:rFonts w:eastAsia="Times New Roman" w:cs="Times New Roman"/>
                <w:sz w:val="24"/>
                <w:szCs w:val="24"/>
              </w:rPr>
              <w:t xml:space="preserve">                                                                                            {{ created }}</w:t>
            </w:r>
          </w:p>
          <w:p>
            <w:pPr>
              <w:pStyle w:val="Normal"/>
              <w:widowControl w:val="false"/>
              <w:spacing w:lineRule="auto" w:line="240" w:before="0" w:after="0"/>
              <w:ind w:left="851" w:hanging="0"/>
              <w:rPr/>
            </w:pPr>
            <w:r>
              <w:rPr/>
            </w:r>
          </w:p>
        </w:tc>
      </w:tr>
      <w:tr>
        <w:trPr>
          <w:trHeight w:val="2510" w:hRule="atLeast"/>
        </w:trPr>
        <w:tc>
          <w:tcPr>
            <w:tcW w:w="5433" w:type="dxa"/>
            <w:tcBorders/>
          </w:tcPr>
          <w:p>
            <w:pPr>
              <w:pStyle w:val="Normal"/>
              <w:widowControl w:val="false"/>
              <w:spacing w:lineRule="auto" w:line="240" w:before="0" w:after="200"/>
              <w:jc w:val="both"/>
              <w:rPr>
                <w:rFonts w:ascii="Times New Roman" w:hAnsi="Times New Roman" w:eastAsia="Times New Roman" w:cs="Times New Roman"/>
                <w:sz w:val="24"/>
                <w:szCs w:val="24"/>
              </w:rPr>
            </w:pPr>
            <w:r>
              <w:rPr>
                <w:rFonts w:eastAsia="Times New Roman" w:cs="Times New Roman"/>
                <w:sz w:val="24"/>
                <w:szCs w:val="24"/>
              </w:rPr>
              <w:t xml:space="preserve">Настоящим КОНТРАКТОМ  №{{ number }} от {{ created }} г., {{ client.title }} </w:t>
            </w:r>
            <w:r>
              <w:rPr>
                <w:rFonts w:eastAsia="Times New Roman" w:cs="Times New Roman"/>
                <w:color w:val="000000"/>
                <w:sz w:val="24"/>
                <w:szCs w:val="24"/>
              </w:rPr>
              <w:t>в лице</w:t>
            </w:r>
            <w:r>
              <w:rPr>
                <w:rFonts w:eastAsia="Times New Roman" w:cs="Times New Roman"/>
                <w:sz w:val="24"/>
                <w:szCs w:val="24"/>
              </w:rPr>
              <w:t xml:space="preserve"> {{ client.position }}</w:t>
            </w:r>
            <w:r>
              <w:rPr>
                <w:rFonts w:eastAsia="Times New Roman" w:cs="Times New Roman"/>
                <w:color w:val="000000"/>
                <w:sz w:val="24"/>
                <w:szCs w:val="24"/>
              </w:rPr>
              <w:t xml:space="preserve">, </w:t>
            </w:r>
            <w:r>
              <w:rPr>
                <w:rFonts w:eastAsia="Times New Roman" w:cs="Times New Roman"/>
                <w:sz w:val="24"/>
                <w:szCs w:val="24"/>
              </w:rPr>
              <w:t>{{ client.appeal }}</w:t>
            </w:r>
            <w:r>
              <w:rPr>
                <w:rFonts w:eastAsia="Times New Roman" w:cs="Times New Roman"/>
                <w:color w:val="000000"/>
                <w:sz w:val="24"/>
                <w:szCs w:val="24"/>
              </w:rPr>
              <w:t xml:space="preserve"> </w:t>
            </w:r>
            <w:r>
              <w:rPr>
                <w:rFonts w:eastAsia="Times New Roman" w:cs="Times New Roman"/>
                <w:sz w:val="24"/>
                <w:szCs w:val="24"/>
              </w:rPr>
              <w:t>{{ client.name }} {{ client.second_name }} {{ client.last_name }} именуемый  в  дальнейшем ПОКУПАТЕЛЬ, с одной стороны, и</w:t>
            </w:r>
            <w:r>
              <w:rPr>
                <w:rFonts w:eastAsia="Times New Roman" w:cs="Times New Roman"/>
                <w:color w:val="000000"/>
                <w:sz w:val="24"/>
                <w:szCs w:val="24"/>
              </w:rPr>
              <w:t xml:space="preserve"> </w:t>
            </w:r>
            <w:r>
              <w:rPr>
                <w:rFonts w:eastAsia="Times New Roman" w:cs="Times New Roman"/>
                <w:sz w:val="24"/>
                <w:szCs w:val="24"/>
              </w:rPr>
              <w:t>{{ organization.title }}</w:t>
            </w:r>
            <w:r>
              <w:rPr>
                <w:rFonts w:eastAsia="Times New Roman" w:cs="Times New Roman"/>
                <w:color w:val="000000"/>
                <w:sz w:val="24"/>
                <w:szCs w:val="24"/>
              </w:rPr>
              <w:t>, в лиц</w:t>
            </w:r>
            <w:r>
              <w:rPr>
                <w:rFonts w:eastAsia="Times New Roman" w:cs="Times New Roman"/>
                <w:sz w:val="24"/>
                <w:szCs w:val="24"/>
              </w:rPr>
              <w:t>е  {{ organization.</w:t>
            </w:r>
            <w:r>
              <w:rPr>
                <w:rFonts w:eastAsia="Times New Roman" w:cs="Times New Roman"/>
                <w:sz w:val="24"/>
                <w:szCs w:val="24"/>
                <w:lang w:val="en-GB" w:eastAsia="ar-SA"/>
              </w:rPr>
              <w:t>position</w:t>
            </w:r>
            <w:r>
              <w:rPr>
                <w:rFonts w:eastAsia="Times New Roman" w:cs="Times New Roman"/>
                <w:sz w:val="24"/>
                <w:szCs w:val="24"/>
              </w:rPr>
              <w:t xml:space="preserve"> }} {{ organization.appeal }} {{ organization.last_name }}    {{ organization.name }} {{ organization.second_name }}, действующ{{ organization.word_ending }} на основании {{ organization.registration }}, именуемый в дальнейшем ПРОДАВЕЦ, с другой стороны, договорились о следующем: </w:t>
            </w:r>
          </w:p>
        </w:tc>
        <w:tc>
          <w:tcPr>
            <w:tcW w:w="5220" w:type="dxa"/>
            <w:tcBorders/>
          </w:tcPr>
          <w:p>
            <w:pPr>
              <w:pStyle w:val="Normal"/>
              <w:widowControl w:val="false"/>
              <w:spacing w:lineRule="auto" w:line="240" w:before="0" w:after="200"/>
              <w:jc w:val="both"/>
              <w:rPr>
                <w:rFonts w:ascii="Times New Roman" w:hAnsi="Times New Roman" w:eastAsia="Times New Roman" w:cs="Times New Roman"/>
                <w:sz w:val="24"/>
                <w:szCs w:val="24"/>
              </w:rPr>
            </w:pPr>
            <w:bookmarkStart w:id="0" w:name="_heading=h.gjdgxs"/>
            <w:bookmarkEnd w:id="0"/>
            <w:r>
              <w:rPr>
                <w:rFonts w:eastAsia="Times New Roman" w:cs="Times New Roman"/>
                <w:sz w:val="24"/>
                <w:szCs w:val="24"/>
              </w:rPr>
              <w:t>With the present CONTRACT No{{ number }} dated on  {{ created }}, {{ client.title }}, represented by {{ client.position_en }}, {{ client.appeal_en }} {{ client.name }} {{ client.second_name }} {{ client.last_name }}, hereinafter referred to as “THE BUYER”, on the one hand, and {{ organization.title_en }}, represented by {{ organization.</w:t>
            </w:r>
            <w:r>
              <w:rPr>
                <w:rFonts w:eastAsia="Times New Roman" w:cs="Times New Roman"/>
                <w:sz w:val="24"/>
                <w:szCs w:val="24"/>
                <w:lang w:val="en-GB" w:eastAsia="ar-SA"/>
              </w:rPr>
              <w:t>position_en</w:t>
            </w:r>
            <w:r>
              <w:rPr>
                <w:rFonts w:eastAsia="Times New Roman" w:cs="Times New Roman"/>
                <w:sz w:val="24"/>
                <w:szCs w:val="24"/>
              </w:rPr>
              <w:t xml:space="preserve"> }} {{ organization.appeal_en }}   {{ organization.last_name_en }} {{ organization.name_en }} {{ organization.second_name_en }}, acting on the bases of the {{ organization.registration_en }}   on the other hand, hereinafter referred to as «THE SELLER», have agreed the following:</w:t>
            </w:r>
          </w:p>
        </w:tc>
      </w:tr>
      <w:tr>
        <w:trPr>
          <w:trHeight w:val="1486" w:hRule="atLeast"/>
        </w:trPr>
        <w:tc>
          <w:tcPr>
            <w:tcW w:w="5433" w:type="dxa"/>
            <w:tcBorders/>
          </w:tcPr>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1. Предмет контракта</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1.1. Предметом настоящего контракта является поставка Кальянов и аксессуары к ним (далее -"Товар"). Условия поставки согласуются дополнительно в спецификациях к Контракту. </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1.2 Наименование, количество, цена, сроки поставки и условия платежа оговариваются в спецификации на каждую партию поставляемого товара, являющейся неотъемлемой частью настоящего контракта.</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1.3.</w:t>
              <w:tab/>
              <w:t>Реализация Товара происходит за пределами Российской Федерации без фактического пресечения товаром границы Российской Федерации.</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w:t>
              <w:tab/>
              <w:t>Первичными документами к контракту являются:</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1.4.1.</w:t>
              <w:tab/>
              <w:t>Спецификация с указанием номенклатуры, сроков, цены и условий поставки</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1.4.2.</w:t>
              <w:tab/>
              <w:t xml:space="preserve">Инвойс с указанием номенклатуры, сроков поставки, цен и условий поставки. </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1. Subject of contract</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1.1. The subject of this contract is to supply the hookahs and accessories (hereinafter referred to as "products"). The terms of delivery are agreed additionally in the specifications to the Contract.</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1.2. The name, quantity, price, delivery and payment terms set forth in the specification for each batch of the products, that is a binding part of this contract.</w:t>
              <w:br/>
              <w:br/>
              <w:t>1.3. The Goods are selling outside the Russian Federation without actually crossing the border of the Russian Federation.</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w:t>
              <w:tab/>
              <w:t xml:space="preserve">The primary documents for the contract are: </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1.4.1.</w:t>
              <w:tab/>
              <w:t>Specification specifying the product range, terms, price, and delivery conditions.</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1.4.2.</w:t>
              <w:tab/>
              <w:t xml:space="preserve">Invoice specifying the product range, delivery dates, prices, and delivery terms. </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r>
      <w:tr>
        <w:trPr>
          <w:trHeight w:val="722" w:hRule="atLeast"/>
        </w:trPr>
        <w:tc>
          <w:tcPr>
            <w:tcW w:w="5433" w:type="dxa"/>
            <w:tcBorders/>
          </w:tcPr>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2. Цена и сумма контракта</w:t>
            </w:r>
          </w:p>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2.1. Цена на товар устанавливается в</w:t>
            </w:r>
            <w:r>
              <w:rPr>
                <w:rFonts w:eastAsia="Times New Roman" w:cs="Times New Roman"/>
                <w:sz w:val="24"/>
                <w:szCs w:val="24"/>
              </w:rPr>
              <w:t xml:space="preserve"> {{ currency.title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2.2 Сумма контракта будет определяться по спецификациям на каждую поставку товара, с учетом таможенных, сертификационных расходов, ставка НДС 0 %.</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2.3.</w:t>
              <w:tab/>
              <w:t xml:space="preserve">Цена Товаров включает в себя стоимость упаковки, маркировки Товара, расходы по его погрузке. </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2.4.</w:t>
              <w:tab/>
              <w:t>Все банковские расходы банка Продавца несет Продавец, а все прочие расходы, включая банковские расходы банков-корреспондентов за счет Покупателя.</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2. Price and the amount of contract</w:t>
            </w:r>
          </w:p>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2.1. Price for products installed in </w:t>
            </w:r>
            <w:r>
              <w:rPr>
                <w:rFonts w:eastAsia="Times New Roman" w:cs="Times New Roman"/>
                <w:sz w:val="24"/>
                <w:szCs w:val="24"/>
              </w:rPr>
              <w:t>{{ currency.char_code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2.2. The contract amount is determined according to specifications for each product deliver, taking into account the customs, certification; the VAT rate is 0%.</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2.3.</w:t>
              <w:tab/>
              <w:t>The price of the Goods includes the cost of packaging, marking and loading of the Goods.</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2.4.</w:t>
              <w:tab/>
              <w:t>All bank charges of the Seller's bank are borne by the Seller, and all other costs, including bank charges of correspondent banks at the expense of the Buyer.</w:t>
            </w:r>
          </w:p>
        </w:tc>
      </w:tr>
      <w:tr>
        <w:trPr>
          <w:trHeight w:val="722" w:hRule="atLeast"/>
        </w:trPr>
        <w:tc>
          <w:tcPr>
            <w:tcW w:w="5433" w:type="dxa"/>
            <w:tcBorders/>
          </w:tcPr>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3. Упаковка</w:t>
            </w:r>
          </w:p>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3.1. Товар должен быть упакован в картонную коробку и обеспечить сохранность продукции при ее погрузке, выгрузке, хранении и транспортировке.            </w:t>
            </w:r>
          </w:p>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3. Packing</w:t>
            </w:r>
          </w:p>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spacing w:lineRule="auto" w:line="240" w:before="0" w:after="0"/>
              <w:ind w:left="15" w:hanging="0"/>
              <w:jc w:val="both"/>
              <w:rPr>
                <w:rFonts w:ascii="Times New Roman" w:hAnsi="Times New Roman" w:eastAsia="Times New Roman" w:cs="Times New Roman"/>
                <w:sz w:val="24"/>
                <w:szCs w:val="24"/>
              </w:rPr>
            </w:pPr>
            <w:r>
              <w:rPr>
                <w:rFonts w:eastAsia="Times New Roman" w:cs="Times New Roman"/>
                <w:sz w:val="24"/>
                <w:szCs w:val="24"/>
              </w:rPr>
              <w:t>3.1. Packaging should be suitable for the kind of shipped product and shall guarantee security during transportation and storage.</w:t>
            </w:r>
          </w:p>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tc>
      </w:tr>
      <w:tr>
        <w:trPr>
          <w:trHeight w:val="2124" w:hRule="atLeast"/>
        </w:trPr>
        <w:tc>
          <w:tcPr>
            <w:tcW w:w="5433" w:type="dxa"/>
            <w:tcBorders/>
          </w:tcPr>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4. Условия оплаты и поставки товара</w:t>
            </w:r>
          </w:p>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4.1. Платеж за продукцию, поставляемую в счет настоящего контракта, должен производиться в </w:t>
            </w:r>
            <w:r>
              <w:rPr>
                <w:rFonts w:eastAsia="Times New Roman" w:cs="Times New Roman"/>
                <w:sz w:val="24"/>
                <w:szCs w:val="24"/>
              </w:rPr>
              <w:t>{{ currency.title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на валютный счет Продавца, указанный в п.11 настоящего контракта, путем банковского перевода на основании инвойса, направленного Продавцом в адрес Покупателя в порядке и срок, установленных в спецификациях.</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4.2. Датой оплаты считается дата поступления денежных средств на расчетный счет Продавца.</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4.3. Приемка товара по качеству осуществляется в течение 20 календарных дней с момента поступления товара на склад «Покупателя».</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4.4. В случае расторжения контракта Покупателем или необоснованного отказа от получения продукции, последний </w:t>
            </w:r>
            <w:r>
              <w:rPr>
                <w:rFonts w:eastAsia="Times New Roman" w:cs="Times New Roman"/>
                <w:sz w:val="24"/>
                <w:szCs w:val="24"/>
              </w:rPr>
              <w:t>уплачивает</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Продавцу все понесённые им убытки, связанные с производством и поставкой невостребованного товара в полном размере. </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 xml:space="preserve">4. Payment conditions and supply  </w:t>
            </w:r>
          </w:p>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4.1. Payment for the products to be supplied under this contract shall be made in </w:t>
            </w:r>
            <w:r>
              <w:rPr>
                <w:rFonts w:eastAsia="Times New Roman" w:cs="Times New Roman"/>
                <w:sz w:val="24"/>
                <w:szCs w:val="24"/>
              </w:rPr>
              <w:t>{{ currency.char_code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to the bank account of the Seller which bank details are specified in paragraph 11 of this contract, by bank transfer on the basis of invoice sent by the Seller to the Buyer in the order and timing according to specification.</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4.2.  The date of payment is the date when the payment enters to Seller’s bank account.</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4.3. Quality control of the goods is carried out within 20 calendar days since the moment of goods arrival to the Buyer’s warehouse. </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4.4.  In the event of termination of contract by the Buyer or rejection of products, the latest shall pay to the Seller all incurred losses relevant to the production and delivery of unclaimed products to the full.</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r>
      <w:tr>
        <w:trPr>
          <w:trHeight w:val="1241" w:hRule="atLeast"/>
        </w:trPr>
        <w:tc>
          <w:tcPr>
            <w:tcW w:w="5433" w:type="dxa"/>
            <w:tcBorders/>
          </w:tcPr>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5. Гарантии</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tru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5.1. Качество отгружаемого товара должно соответствовать качеству на данный вид товара. </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 Гарантийный срок на поставляемый товар указан в руководстве на эксплуатацию, начинает исчисляться с момента таможенного оформления на поставленную продукцию на территории Покупателя, но не более 12 месяцев со дня отгрузки.</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5.3  Гарантии качества распространяются только на Товар в случае, если Покупателем не нарушены соответствующие нормы, при его обслуживании, изложенные в руководстве на эксплуатацию.</w:t>
            </w:r>
          </w:p>
        </w:tc>
        <w:tc>
          <w:tcPr>
            <w:tcW w:w="5220" w:type="dxa"/>
            <w:tcBorders/>
          </w:tcPr>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5. Guarantees</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br/>
              <w:t>5.1.  The quality of shipped products must comply with technical specifications for these products.</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 The warranty period for the delivered equipment is specified in the maintenance manual/passport and will come into effect from the moment of customs clearance of products delivered to the Buyer's premises, but not more than 12 months from the date of shipment.</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5.3 The warranty of product quality applies only to the Goods if the Buyer does not violate any applicable standards which are stated in the maintenance manual.</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r>
      <w:tr>
        <w:trPr>
          <w:trHeight w:val="80" w:hRule="atLeast"/>
        </w:trPr>
        <w:tc>
          <w:tcPr>
            <w:tcW w:w="5433" w:type="dxa"/>
            <w:tcBorders/>
          </w:tcPr>
          <w:p>
            <w:pPr>
              <w:pStyle w:val="Normal"/>
              <w:keepNext w:val="false"/>
              <w:keepLines w:val="false"/>
              <w:widowControl w:val="false"/>
              <w:numPr>
                <w:ilvl w:val="0"/>
                <w:numId w:val="1"/>
              </w:numPr>
              <w:pBdr/>
              <w:shd w:val="clear" w:fill="auto"/>
              <w:tabs>
                <w:tab w:val="clear" w:pos="709"/>
                <w:tab w:val="left" w:pos="0" w:leader="none"/>
                <w:tab w:val="left" w:pos="360" w:leader="none"/>
                <w:tab w:val="left" w:pos="720" w:leader="none"/>
              </w:tabs>
              <w:spacing w:lineRule="auto" w:line="240" w:before="0" w:after="0"/>
              <w:ind w:left="360" w:right="0" w:hanging="36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Права и обязанности Сторон, передача риска и права собственности</w:t>
            </w:r>
          </w:p>
          <w:p>
            <w:pPr>
              <w:pStyle w:val="Normal"/>
              <w:keepNext w:val="false"/>
              <w:keepLines w:val="false"/>
              <w:widowControl w:val="false"/>
              <w:pBdr/>
              <w:shd w:val="clear" w:fill="auto"/>
              <w:tabs>
                <w:tab w:val="clear" w:pos="709"/>
                <w:tab w:val="left" w:pos="0" w:leader="none"/>
                <w:tab w:val="left" w:pos="720" w:leader="none"/>
              </w:tabs>
              <w:spacing w:lineRule="auto" w:line="240" w:before="0" w:after="0"/>
              <w:ind w:left="36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numPr>
                <w:ilvl w:val="1"/>
                <w:numId w:val="1"/>
              </w:numPr>
              <w:pBdr/>
              <w:shd w:val="clear" w:fill="auto"/>
              <w:tabs>
                <w:tab w:val="clear" w:pos="709"/>
                <w:tab w:val="left" w:pos="0" w:leader="none"/>
              </w:tabs>
              <w:spacing w:lineRule="auto" w:line="240" w:before="0" w:after="0"/>
              <w:ind w:left="360" w:right="0" w:hanging="36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Поставщик обязан:</w:t>
            </w:r>
          </w:p>
          <w:p>
            <w:pPr>
              <w:pStyle w:val="Normal"/>
              <w:widowControl w:val="false"/>
              <w:tabs>
                <w:tab w:val="clear" w:pos="709"/>
                <w:tab w:val="left" w:pos="0" w:leader="none"/>
              </w:tabs>
              <w:spacing w:lineRule="auto" w:line="240" w:before="0" w:after="0"/>
              <w:jc w:val="both"/>
              <w:rPr>
                <w:rFonts w:ascii="Times New Roman" w:hAnsi="Times New Roman" w:eastAsia="Times New Roman" w:cs="Times New Roman"/>
                <w:sz w:val="24"/>
                <w:szCs w:val="24"/>
              </w:rPr>
            </w:pPr>
            <w:r>
              <w:rPr>
                <w:rFonts w:eastAsia="Times New Roman" w:cs="Times New Roman"/>
                <w:sz w:val="24"/>
                <w:szCs w:val="24"/>
              </w:rPr>
              <w:t>5.1.1. Поставить Товар Покупателю на условиях и в срок, указанные в согласованной сторонами спецификации.</w:t>
            </w:r>
          </w:p>
          <w:p>
            <w:pPr>
              <w:pStyle w:val="Normal"/>
              <w:keepNext w:val="false"/>
              <w:keepLines w:val="false"/>
              <w:widowControl w:val="false"/>
              <w:pBdr/>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5.1.2. обеспечить соответствующую упаковку Товаров за свой счет;</w:t>
            </w:r>
          </w:p>
          <w:p>
            <w:pPr>
              <w:pStyle w:val="Normal"/>
              <w:widowControl w:val="false"/>
              <w:tabs>
                <w:tab w:val="clear" w:pos="709"/>
                <w:tab w:val="left" w:pos="0" w:leader="none"/>
              </w:tabs>
              <w:spacing w:lineRule="auto" w:line="240" w:before="0" w:after="0"/>
              <w:jc w:val="both"/>
              <w:rPr>
                <w:rFonts w:ascii="Times New Roman" w:hAnsi="Times New Roman" w:eastAsia="Times New Roman" w:cs="Times New Roman"/>
                <w:sz w:val="24"/>
                <w:szCs w:val="24"/>
              </w:rPr>
            </w:pPr>
            <w:r>
              <w:rPr>
                <w:rFonts w:eastAsia="Times New Roman" w:cs="Times New Roman"/>
                <w:sz w:val="24"/>
                <w:szCs w:val="24"/>
              </w:rPr>
              <w:t>5.1.3. предоставить Покупателю вместе с Товаром следующие документы: коммерческий инвойс, упаковочный лист.</w:t>
            </w:r>
          </w:p>
          <w:p>
            <w:pPr>
              <w:pStyle w:val="Normal"/>
              <w:keepNext w:val="false"/>
              <w:keepLines w:val="false"/>
              <w:widowControl w:val="false"/>
              <w:numPr>
                <w:ilvl w:val="1"/>
                <w:numId w:val="1"/>
              </w:numPr>
              <w:pBdr/>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Покупатель обязан:</w:t>
            </w:r>
          </w:p>
          <w:p>
            <w:pPr>
              <w:pStyle w:val="Normal"/>
              <w:widowControl w:val="false"/>
              <w:spacing w:lineRule="auto" w:line="240" w:before="0" w:after="0"/>
              <w:ind w:left="22" w:right="600" w:hanging="0"/>
              <w:jc w:val="both"/>
              <w:rPr>
                <w:rFonts w:ascii="Times New Roman" w:hAnsi="Times New Roman" w:eastAsia="Times New Roman" w:cs="Times New Roman"/>
                <w:sz w:val="24"/>
                <w:szCs w:val="24"/>
              </w:rPr>
            </w:pPr>
            <w:r>
              <w:rPr>
                <w:rFonts w:eastAsia="Times New Roman" w:cs="Times New Roman"/>
                <w:sz w:val="24"/>
                <w:szCs w:val="24"/>
              </w:rPr>
              <w:t>5.2.1. Принять Товар в месте и в срок, указанные в Спецификации, которая является неотъемлемой частью Договора;</w:t>
            </w:r>
          </w:p>
          <w:p>
            <w:pPr>
              <w:pStyle w:val="Normal"/>
              <w:keepNext w:val="false"/>
              <w:keepLines w:val="false"/>
              <w:widowControl w:val="false"/>
              <w:pBdr/>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5.2.2. Оплатить Товары в соответствии с условиями, изложенными в Спецификациях к настоящему Договору.</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5.3. Право собственности на Товары и риск утраты/повреждения передаются Покупателю в момент передачи товаров Покупателю на условиях поставки согласованных в спецификациях.</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w:t>
              <w:tab/>
            </w: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Rights and obligations of the Parties, transfer of risk and title</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5.1.</w:t>
              <w:tab/>
              <w:t>The Supplier shall:</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5.1.1. Deliver Goods on the conditions and within the period indicated in the specification agreed between the parties.</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5.1.2. Provide proper packaging for the Goods at its own expense;</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5.1.3. Provide the Buyer with the following documents together with the Goods: commercial invoice, packing list.</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w:t>
              <w:tab/>
              <w:t>The Buyer shall:</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5.2.1. Accept the Goods at the place and within terms indicated in the Specification that is an integral part of the Contract;</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5.2.2. Pay for the Goods in accordance with terms specified Specification to the present Contract.</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5.3.</w:t>
              <w:tab/>
              <w:t xml:space="preserve">Title to the Goods and risk of loss/damage shall be transferred to the Buyer at the time delivery of the Goods by terms of deliver indicated in Specifications. </w:t>
            </w:r>
          </w:p>
        </w:tc>
      </w:tr>
      <w:tr>
        <w:trPr>
          <w:trHeight w:val="193" w:hRule="atLeast"/>
        </w:trPr>
        <w:tc>
          <w:tcPr>
            <w:tcW w:w="5433" w:type="dxa"/>
            <w:tcBorders/>
          </w:tcPr>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7. Ответственность сторон</w:t>
            </w:r>
          </w:p>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7.1. В случае нарушения Продавцом сроков отгрузки, предусмотренных настоящим контрактом, Покупатель вправе взыскать с Продавца  штраф в размере 0,01 (одна сотая) % от общей суммы контракта за каждый день просрочки, но не более 3% от суммы Спецификации  к контракту. За первые две недели просрочки штраф не начисляется.</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7.2. За просрочку оплаты поставляемого товара, Продавец вправе взыскать с Покупателя штраф в размере 0,01 (дна сотая) % от суммы задолженности за каждый день просрочки, но не более 3% от суммы Спецификации  к контракту. За первые две недели просрочки штраф не начисляется.</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7.3. Ответственность Сторон в иных случаях определяется в соответствии с действующим законодательством Российской Федерации.</w:t>
            </w:r>
          </w:p>
        </w:tc>
        <w:tc>
          <w:tcPr>
            <w:tcW w:w="5220" w:type="dxa"/>
            <w:tcBorders/>
          </w:tcPr>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7. Liability</w:t>
            </w:r>
          </w:p>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7.1.  In the case of Seller break the terms of shipment that are stipulated in this contract, The Buyer has the right to collect a fine from the Seller   in the amount of 0,01 (one hundredth) % </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of the total contract sum for each day of delay, but not more than 3% of the specifications of the contract. For the first 2 weeks of delay fine there is not.</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br/>
              <w:t>7.2.  For delay in payment for the Seller has the right to charge the Buyer a fine in the amount of  0,01 (one hundredth) % of the delayed amount for each day of delay,  but not more than 3% of the specifications of the contract. For the first 2 weeks of delay fine there is not.</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7.3. Responsibilities of the Parties in other cases are determined in accordance with the operating legislation of the Russian Federation.</w:t>
            </w:r>
          </w:p>
        </w:tc>
      </w:tr>
      <w:tr>
        <w:trPr>
          <w:trHeight w:val="193" w:hRule="atLeast"/>
        </w:trPr>
        <w:tc>
          <w:tcPr>
            <w:tcW w:w="5433" w:type="dxa"/>
            <w:tcBorders/>
          </w:tcPr>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8. Форс-мажор</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8.1. Стороны освобождаются от ответственности за частичное или полное неисполнение обязательств по настоящему контракту, если оно явилось следствием непреодолимой силы (форс-мажор), а именно: пожара, вирусов, наводнения, землетрясения, вооруженной агрессии, военных действий, актов терроризма или всеобщей военной мобилизации, делающих невозможным выполнение Сторонами принятых на себя обязательств, и если эти обстоятельства непосредственно повлияли на неисполнение настоящего контракта. При этом срок исполнения Сторонами их обязательств продлевается на период, в течение которого действовали эти обстоятельства.</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8.2. Сторона, для которой создалась невозможность исполнения обязательств по контракту, немедленно извещает другую Сторону о наступлении и прекращении обстоятельств форс-мажор  причем уведомление о наличии и продолжительности обстоятельств форс-мажор должно быть подтверждено соответствующей Торговой Палатой страны Продавца/Покупателя.</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8.3. Если указанные обстоятельства будут длиться более трех месяцев, то каждая из сторон будет вправе аннулировать контракт полностью или частично, и в этом случае ни одна из Сторон не будет иметь права потребовать от другой Стороны возмещения убытков.   </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tc>
        <w:tc>
          <w:tcPr>
            <w:tcW w:w="5220" w:type="dxa"/>
            <w:tcBorders/>
          </w:tcPr>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8. Force majeure</w:t>
            </w:r>
          </w:p>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8.1. Parties are not liable for the partial or full default of obligations under this contract, if it was caused by force majeure, namely: fire, viruses, floods, earthquakes, armed aggression, hostilities, acts of terrorism or the general military mobilization, which make it impossible for the Parties to fulfil their obligations, and if these circumstances directly caused failure of this contract. In these cases, the period for the Parties to fulfil their obligations extends for a period during which these circumstances are met.</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8.2. The Party that fails to perform its obligations under the contract shall immediately notify the other Party of the commencement and cessation of force majeure, the notification of the availability and duration of force majeure must be confirmed by the relevant Chamber of Commerce of the Seller/ Buyer.</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8.3. If these conditions last more than three months, each party will be entitled to terminate the contract in whole or in part, in which case neither Party shall have the right to demand from the other Party to reimburse for loss.</w:t>
            </w:r>
          </w:p>
        </w:tc>
      </w:tr>
      <w:tr>
        <w:trPr>
          <w:trHeight w:val="193" w:hRule="atLeast"/>
        </w:trPr>
        <w:tc>
          <w:tcPr>
            <w:tcW w:w="5433" w:type="dxa"/>
            <w:tcBorders/>
          </w:tcPr>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9. Арбитраж</w:t>
            </w:r>
          </w:p>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9.1. Все споры и разногласия, возникающие между Сторонами в процессе исполнения настоящего контракта, решаются путем </w:t>
            </w:r>
            <w:r>
              <w:rPr>
                <w:rFonts w:eastAsia="Times New Roman" w:cs="Times New Roman"/>
                <w:sz w:val="24"/>
                <w:szCs w:val="24"/>
              </w:rPr>
              <w:t>двусторонних</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переговоров.</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9.2. В случае, если невозможно прийти к согласию путем переговоров, споры в качестве крайней меры окончательно разрешаются Международным Коммерческим Арбитражным судом при Торговой промышленной палате Российской Федерации, в соответствии с его Регламентом и по праву России, на русском языке.</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9.3. Взаимоотношения Сторон, не предусмотренные настоящим контрактом, регулируются действующим законодательством Российской Федерации, а также межправительственными соглашениями.</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9.4 Расходы по арбитражу несет проигравшая сторона.</w:t>
            </w:r>
          </w:p>
          <w:p>
            <w:pPr>
              <w:pStyle w:val="Normal"/>
              <w:widowControl w:val="false"/>
              <w:spacing w:lineRule="auto" w:line="240" w:before="0" w:after="200"/>
              <w:rPr>
                <w:rFonts w:ascii="Times New Roman" w:hAnsi="Times New Roman" w:eastAsia="Times New Roman" w:cs="Times New Roman"/>
                <w:sz w:val="24"/>
                <w:szCs w:val="24"/>
              </w:rPr>
            </w:pPr>
            <w:r>
              <w:rPr>
                <w:rFonts w:eastAsia="Times New Roman" w:cs="Times New Roman"/>
                <w:sz w:val="24"/>
                <w:szCs w:val="24"/>
              </w:rPr>
            </w:r>
          </w:p>
        </w:tc>
        <w:tc>
          <w:tcPr>
            <w:tcW w:w="5220" w:type="dxa"/>
            <w:tcBorders/>
          </w:tcPr>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9. Arbitration</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br/>
              <w:t>9.1. All disputes and differences arising between the Parties during the execution of this contract shall be settled through bilateral negotiations.</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9.2. If it is impossible to reach agreement by negotiation, dispute resolution as a last resort, be finally settled by the International Commercial Arbitration Court at the Commerce and Industry Chamber of the Russian Federation in accordance with its rules and law of Russia in Russian language.</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9.3. Relationship of the Parties not covered by this contract shall be governed by the operating legislation of the Russian Federation and intergovernmental agreements.</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9.4 The cost of arbitrations will be paid by non-prevailing party.</w:t>
            </w:r>
          </w:p>
          <w:p>
            <w:pPr>
              <w:pStyle w:val="Normal"/>
              <w:widowControl w:val="false"/>
              <w:spacing w:lineRule="auto" w:line="240" w:before="0" w:after="200"/>
              <w:rPr>
                <w:rFonts w:ascii="Times New Roman" w:hAnsi="Times New Roman" w:eastAsia="Times New Roman" w:cs="Times New Roman"/>
                <w:sz w:val="24"/>
                <w:szCs w:val="24"/>
              </w:rPr>
            </w:pPr>
            <w:r>
              <w:rPr>
                <w:rFonts w:eastAsia="Times New Roman" w:cs="Times New Roman"/>
                <w:sz w:val="24"/>
                <w:szCs w:val="24"/>
              </w:rPr>
            </w:r>
          </w:p>
        </w:tc>
      </w:tr>
      <w:tr>
        <w:trPr>
          <w:trHeight w:val="193" w:hRule="atLeast"/>
        </w:trPr>
        <w:tc>
          <w:tcPr>
            <w:tcW w:w="5433" w:type="dxa"/>
            <w:tcBorders/>
          </w:tcPr>
          <w:p>
            <w:pPr>
              <w:pStyle w:val="Normal"/>
              <w:keepNext w:val="false"/>
              <w:keepLines w:val="false"/>
              <w:widowControl w:val="false"/>
              <w:pBdr/>
              <w:shd w:val="clear" w:fill="auto"/>
              <w:spacing w:lineRule="auto" w:line="240" w:before="0" w:after="0"/>
              <w:ind w:left="0" w:right="0"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10. Общие условия</w:t>
            </w:r>
          </w:p>
          <w:p>
            <w:pPr>
              <w:pStyle w:val="Normal"/>
              <w:keepNext w:val="false"/>
              <w:keepLines w:val="false"/>
              <w:widowControl w:val="false"/>
              <w:pBdr/>
              <w:shd w:val="clear" w:fill="auto"/>
              <w:spacing w:lineRule="auto" w:line="24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10.1. С момента подписания настоящего контракта все предыдущие переговоры и переписка по нему теряют силу.</w:t>
            </w:r>
          </w:p>
          <w:p>
            <w:pPr>
              <w:pStyle w:val="Normal"/>
              <w:keepNext w:val="false"/>
              <w:keepLines w:val="false"/>
              <w:widowControl w:val="false"/>
              <w:pBdr/>
              <w:shd w:val="clear" w:fill="auto"/>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tabs>
                <w:tab w:val="left" w:pos="709" w:leader="none"/>
                <w:tab w:val="left" w:pos="11292" w:leader="none"/>
              </w:tabs>
              <w:spacing w:lineRule="auto" w:line="240" w:before="0" w:after="0"/>
              <w:ind w:left="24" w:right="-14"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10.2. Все дополнения и изменения к настоящему контракту действительны лишь в том случае, если они совершены в письменной форме и подписаны уполномоченными на то представителями Сторон.</w:t>
            </w:r>
          </w:p>
          <w:p>
            <w:pPr>
              <w:pStyle w:val="Normal"/>
              <w:keepNext w:val="false"/>
              <w:keepLines w:val="false"/>
              <w:widowControl w:val="false"/>
              <w:pBdr/>
              <w:shd w:val="clear" w:fill="auto"/>
              <w:tabs>
                <w:tab w:val="left" w:pos="709" w:leader="none"/>
                <w:tab w:val="left" w:pos="11292" w:leader="none"/>
              </w:tabs>
              <w:spacing w:lineRule="auto" w:line="240" w:before="0" w:after="0"/>
              <w:ind w:left="0" w:right="-14"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tabs>
                <w:tab w:val="left" w:pos="709" w:leader="none"/>
                <w:tab w:val="left" w:pos="11292" w:leader="none"/>
              </w:tabs>
              <w:spacing w:lineRule="auto" w:line="240" w:before="0" w:after="0"/>
              <w:ind w:left="24" w:right="-14"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10.3. Правом настоящего контракта является право России.</w:t>
            </w:r>
          </w:p>
          <w:p>
            <w:pPr>
              <w:pStyle w:val="Normal"/>
              <w:keepNext w:val="false"/>
              <w:keepLines w:val="false"/>
              <w:widowControl w:val="false"/>
              <w:pBdr/>
              <w:shd w:val="clear" w:fill="auto"/>
              <w:tabs>
                <w:tab w:val="left" w:pos="709" w:leader="none"/>
                <w:tab w:val="left" w:pos="11292" w:leader="none"/>
              </w:tabs>
              <w:spacing w:lineRule="auto" w:line="240" w:before="0" w:after="0"/>
              <w:ind w:left="24" w:right="-14"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spacing w:lineRule="auto" w:line="240"/>
              <w:jc w:val="both"/>
              <w:rPr>
                <w:rFonts w:ascii="Times New Roman" w:hAnsi="Times New Roman" w:eastAsia="Times New Roman" w:cs="Times New Roman"/>
                <w:sz w:val="24"/>
                <w:szCs w:val="24"/>
              </w:rPr>
            </w:pPr>
            <w:r>
              <w:rPr>
                <w:rFonts w:eastAsia="Times New Roman" w:cs="Times New Roman"/>
                <w:sz w:val="24"/>
                <w:szCs w:val="24"/>
              </w:rPr>
              <w:t xml:space="preserve">10.4. Стороны обязуются соблюдать условия конфиденциальности и не разглашать информацию, являющуюся коммерческим интересом другой стороны.                                                                    10.5. Ни одна из Сторон не вправе передавать полностью или частично свои права и обязательства по настоящему контракту третьим лицам без письменного согласия на то другой Стороны.                                                                </w:t>
            </w:r>
          </w:p>
          <w:p>
            <w:pPr>
              <w:pStyle w:val="Normal"/>
              <w:widowControl w:val="false"/>
              <w:spacing w:lineRule="auto" w:line="240"/>
              <w:jc w:val="both"/>
              <w:rPr>
                <w:rFonts w:ascii="Times New Roman" w:hAnsi="Times New Roman" w:eastAsia="Times New Roman" w:cs="Times New Roman"/>
                <w:sz w:val="24"/>
                <w:szCs w:val="24"/>
              </w:rPr>
            </w:pPr>
            <w:r>
              <w:rPr>
                <w:rFonts w:eastAsia="Times New Roman" w:cs="Times New Roman"/>
                <w:sz w:val="24"/>
                <w:szCs w:val="24"/>
              </w:rPr>
              <w:t xml:space="preserve">10.6. Настоящий контракт составлен в двух экземплярах, на английском и русском языках и имеет одинаковую юридическую силу для обеих Сторон. При интерпретации настоящего контракта текст на обоих языках является превалирующим. </w:t>
            </w:r>
          </w:p>
          <w:p>
            <w:pPr>
              <w:pStyle w:val="Normal"/>
              <w:widowControl w:val="false"/>
              <w:spacing w:lineRule="auto" w:line="240"/>
              <w:jc w:val="both"/>
              <w:rPr>
                <w:rFonts w:ascii="Times New Roman" w:hAnsi="Times New Roman" w:eastAsia="Times New Roman" w:cs="Times New Roman"/>
                <w:sz w:val="24"/>
                <w:szCs w:val="24"/>
              </w:rPr>
            </w:pPr>
            <w:r>
              <w:rPr>
                <w:rFonts w:eastAsia="Times New Roman" w:cs="Times New Roman"/>
                <w:sz w:val="24"/>
                <w:szCs w:val="24"/>
              </w:rPr>
              <w:t xml:space="preserve">10.7. В целях оперативного обмена документами Стороны договорились о возможности использовать в качестве официальных, имеющих юридическую силу документы, переданные посредством факсимильной связи, с последующим обменом оригиналами этих документов в течение 30(тридцати) календарных дней посредством почтового отправления.                                                   </w:t>
            </w:r>
          </w:p>
          <w:p>
            <w:pPr>
              <w:pStyle w:val="Normal"/>
              <w:widowControl w:val="false"/>
              <w:spacing w:lineRule="auto" w:line="240"/>
              <w:jc w:val="both"/>
              <w:rPr>
                <w:rFonts w:ascii="Times New Roman" w:hAnsi="Times New Roman" w:eastAsia="Times New Roman" w:cs="Times New Roman"/>
                <w:sz w:val="24"/>
                <w:szCs w:val="24"/>
              </w:rPr>
            </w:pPr>
            <w:r>
              <w:rPr>
                <w:rFonts w:eastAsia="Times New Roman" w:cs="Times New Roman"/>
                <w:sz w:val="24"/>
                <w:szCs w:val="24"/>
              </w:rPr>
              <w:t>10.8. Настоящий контракт вступает в силу с момента его подписания и действует до момента исполнения сторонами принятых на себя обязательств по настоящему контракту, но не позднее 31.12.{{ created_year }}. Истечение срока контракта не освобождает стороны от исполнения своих обязательств. Контракт считается автоматически продленным по окончании его срока на тот же срок и на тех же условиях, если до окончания его срока за один месяц ни одна из сторон не заявит о своем отказе от продления Контракта.</w:t>
            </w:r>
          </w:p>
          <w:p>
            <w:pPr>
              <w:pStyle w:val="Normal"/>
              <w:widowControl w:val="false"/>
              <w:spacing w:lineRule="auto" w:line="240" w:before="0" w:after="200"/>
              <w:jc w:val="both"/>
              <w:rPr>
                <w:rFonts w:ascii="Times New Roman" w:hAnsi="Times New Roman" w:eastAsia="Times New Roman" w:cs="Times New Roman"/>
                <w:sz w:val="24"/>
                <w:szCs w:val="24"/>
              </w:rPr>
            </w:pPr>
            <w:r>
              <w:rPr>
                <w:rFonts w:eastAsia="Times New Roman" w:cs="Times New Roman"/>
                <w:sz w:val="24"/>
                <w:szCs w:val="24"/>
              </w:rPr>
              <w:t xml:space="preserve">10.9. Все приложения и дополнения к настоящему контракту являются его неотъемлемой частью. Все изменения и дополнения к настоящему контракту действительны лишь в том случае, если они совершены в письменной форме и подписаны обеими сторонами. </w:t>
            </w:r>
          </w:p>
        </w:tc>
        <w:tc>
          <w:tcPr>
            <w:tcW w:w="5220" w:type="dxa"/>
            <w:tcBorders/>
          </w:tcPr>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10. General terms and conditions</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br/>
              <w:t>10.1. Since the moment of the signing of this contract all prior negotiations and correspondence become void.</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br/>
              <w:t>10.2. All additions and changes to this contract shall be effective only if they are set forth in writing and signed by authorized representatives of the Parties.</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10.3. The law of this contract is the law of Russia.</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10.4. The Parties are obliged to abide by the terms of confidentiality and not to disclose information which is a commercial interest of another party.</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10.5. Neither Party is entitled to transfer all or part of its rights and obligations under this contract to third parties without a written consent of the other Party.</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10.6. This contract is made in two copies in English and Russian languages and has the same legal force for both Parties. In the interpretation of this contract the text in both languages is prevalent.</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10.7. In order to prompt exchange, the Parties agreed on the possibility of use as a formal, legally binding documents transmitted by facsimile, with the subsequent exchange of the originals of these documents within 30 (thirty) days through the postal item.</w:t>
            </w:r>
          </w:p>
          <w:p>
            <w:pPr>
              <w:pStyle w:val="Normal"/>
              <w:keepNext w:val="false"/>
              <w:keepLines w:val="false"/>
              <w:widowControl w:val="false"/>
              <w:pBdr/>
              <w:shd w:val="clear" w:fill="auto"/>
              <w:spacing w:lineRule="auto" w:line="240" w:before="0" w:after="0"/>
              <w:ind w:left="0" w:right="125"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10.8. This contract shall enter into force upon its signing and shall remain valid until the parties fulfil the obligations stipulated in this contract, but no later than 31.12.</w:t>
            </w:r>
            <w:r>
              <w:rPr>
                <w:rFonts w:eastAsia="Times New Roman" w:cs="Times New Roman"/>
                <w:sz w:val="24"/>
                <w:szCs w:val="24"/>
              </w:rPr>
              <w:t>{{ created_year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The expiration of the contract does not relieve the Parties from their obligations. The contract is considered to be automatically extended at the end of its term for the same period and under the same conditions, if before the end of its term for one month, neither of the parties declares its refusal to extend the Contract.</w:t>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spacing w:lineRule="auto" w:line="240" w:before="0" w:after="0"/>
              <w:ind w:left="0" w:right="125"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10.9. All applications and additions to the present contract are its integral part. All changes and additions to this Contract are valid only if they are made in writing and signed by both parties.</w:t>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tc>
      </w:tr>
      <w:tr>
        <w:trPr>
          <w:trHeight w:val="634" w:hRule="atLeast"/>
        </w:trPr>
        <w:tc>
          <w:tcPr>
            <w:tcW w:w="5433" w:type="dxa"/>
            <w:tcBorders/>
          </w:tcPr>
          <w:p>
            <w:pPr>
              <w:pStyle w:val="Normal"/>
              <w:widowControl w:val="false"/>
              <w:spacing w:lineRule="auto" w:line="240" w:before="0" w:after="200"/>
              <w:jc w:val="center"/>
              <w:rPr>
                <w:rFonts w:ascii="Times New Roman" w:hAnsi="Times New Roman" w:eastAsia="Times New Roman" w:cs="Times New Roman"/>
                <w:b/>
                <w:b/>
                <w:i/>
                <w:i/>
                <w:sz w:val="24"/>
                <w:szCs w:val="24"/>
              </w:rPr>
            </w:pPr>
            <w:r>
              <w:rPr>
                <w:rFonts w:eastAsia="Times New Roman" w:cs="Times New Roman"/>
                <w:b/>
                <w:sz w:val="24"/>
                <w:szCs w:val="24"/>
              </w:rPr>
              <w:t>11. Адреса, реквизиты Сторон</w:t>
            </w:r>
          </w:p>
        </w:tc>
        <w:tc>
          <w:tcPr>
            <w:tcW w:w="5220" w:type="dxa"/>
            <w:tcBorders/>
          </w:tcPr>
          <w:p>
            <w:pPr>
              <w:pStyle w:val="Normal"/>
              <w:keepNext w:val="false"/>
              <w:keepLines w:val="false"/>
              <w:widowControl w:val="false"/>
              <w:pBdr/>
              <w:shd w:val="clear" w:fill="auto"/>
              <w:spacing w:lineRule="auto" w:line="240" w:before="0" w:after="0"/>
              <w:ind w:left="0" w:right="125"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i w:val="false"/>
                <w:caps w:val="false"/>
                <w:smallCaps w:val="false"/>
                <w:strike w:val="false"/>
                <w:dstrike w:val="false"/>
                <w:color w:val="000000"/>
                <w:position w:val="0"/>
                <w:sz w:val="24"/>
                <w:sz w:val="24"/>
                <w:szCs w:val="24"/>
                <w:u w:val="none"/>
                <w:shd w:fill="auto" w:val="clear"/>
                <w:vertAlign w:val="baseline"/>
              </w:rPr>
              <w:t>11. Addresses and details of the Parties</w:t>
            </w:r>
          </w:p>
        </w:tc>
      </w:tr>
      <w:tr>
        <w:trPr>
          <w:trHeight w:val="390" w:hRule="atLeast"/>
        </w:trPr>
        <w:tc>
          <w:tcPr>
            <w:tcW w:w="5433" w:type="dxa"/>
            <w:tcBorders/>
          </w:tcPr>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ПРОДАВЕЦ:</w:t>
            </w:r>
          </w:p>
          <w:p>
            <w:pPr>
              <w:pStyle w:val="Normal"/>
              <w:keepNext w:val="false"/>
              <w:keepLines w:val="false"/>
              <w:widowControl w:val="false"/>
              <w:pBdr/>
              <w:shd w:val="clear" w:fill="auto"/>
              <w:spacing w:lineRule="auto" w:line="240" w:before="0" w:after="0"/>
              <w:ind w:left="0" w:right="0" w:hanging="0"/>
              <w:jc w:val="left"/>
              <w:rPr>
                <w:rFonts w:ascii="Times New Roman" w:hAnsi="Times New Roman" w:eastAsia="Times New Roman" w:cs="Times New Roman"/>
                <w:b/>
                <w:b/>
                <w:sz w:val="24"/>
                <w:szCs w:val="24"/>
              </w:rPr>
            </w:pPr>
            <w:r>
              <w:rPr>
                <w:rFonts w:eastAsia="Times New Roman" w:cs="Times New Roman"/>
                <w:b/>
                <w:sz w:val="24"/>
                <w:szCs w:val="24"/>
              </w:rPr>
              <w:t>{{ organization.title }}</w:t>
            </w:r>
          </w:p>
          <w:p>
            <w:pPr>
              <w:pStyle w:val="Normal"/>
              <w:keepNext w:val="false"/>
              <w:keepLines w:val="false"/>
              <w:widowControl w:val="false"/>
              <w:pBdr/>
              <w:shd w:val="clear" w:fill="auto"/>
              <w:spacing w:lineRule="auto" w:line="240" w:before="0" w:after="0"/>
              <w:ind w:left="0" w:right="0" w:hanging="0"/>
              <w:jc w:val="left"/>
              <w:rPr>
                <w:rFonts w:ascii="Times New Roman" w:hAnsi="Times New Roman" w:eastAsia="Times New Roman" w:cs="Times New Roman"/>
                <w:b/>
                <w:b/>
                <w:sz w:val="24"/>
                <w:szCs w:val="24"/>
              </w:rPr>
            </w:pPr>
            <w:r>
              <w:rPr>
                <w:rFonts w:eastAsia="Times New Roman" w:cs="Times New Roman"/>
                <w:b/>
                <w:sz w:val="24"/>
                <w:szCs w:val="24"/>
              </w:rPr>
              <w:t>{{ organization.legal_address }}</w:t>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ИНН:{{ organization.tin }}</w:t>
            </w:r>
          </w:p>
          <w:p>
            <w:pPr>
              <w:pStyle w:val="Normal"/>
              <w:widowControl w:val="false"/>
              <w:spacing w:lineRule="auto" w:line="240" w:before="0" w:after="0"/>
              <w:rPr>
                <w:rFonts w:ascii="Times New Roman" w:hAnsi="Times New Roman" w:eastAsia="Times New Roman" w:cs="Times New Roman"/>
                <w:b/>
                <w:b/>
                <w:sz w:val="24"/>
                <w:szCs w:val="24"/>
                <w:highlight w:val="yellow"/>
              </w:rPr>
            </w:pPr>
            <w:r>
              <w:rPr>
                <w:rFonts w:eastAsia="Times New Roman" w:cs="Times New Roman"/>
                <w:b/>
                <w:sz w:val="24"/>
                <w:szCs w:val="24"/>
              </w:rPr>
              <w:t>ОГРН(ИП):{{ organization.pprnie }}</w:t>
            </w:r>
          </w:p>
          <w:p>
            <w:pPr>
              <w:pStyle w:val="Normal"/>
              <w:keepNext w:val="false"/>
              <w:keepLines w:val="false"/>
              <w:widowControl w:val="false"/>
              <w:pBdr/>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БАНКОВСКИЕ РЕКВИЗИТЫ:</w:t>
            </w:r>
          </w:p>
          <w:p>
            <w:pPr>
              <w:pStyle w:val="Normal"/>
              <w:keepNext w:val="false"/>
              <w:keepLines w:val="false"/>
              <w:widowControl w:val="false"/>
              <w:pBdr/>
              <w:shd w:val="clear" w:fill="auto"/>
              <w:spacing w:lineRule="auto" w:line="240" w:before="0" w:after="0"/>
              <w:ind w:left="0" w:right="0" w:hanging="0"/>
              <w:jc w:val="left"/>
              <w:rPr>
                <w:rFonts w:ascii="Times New Roman" w:hAnsi="Times New Roman" w:eastAsia="Times New Roman" w:cs="Times New Roman"/>
                <w:b/>
                <w:b/>
                <w:sz w:val="24"/>
                <w:szCs w:val="24"/>
              </w:rPr>
            </w:pPr>
            <w:r>
              <w:rPr>
                <w:rFonts w:eastAsia="Times New Roman" w:cs="Times New Roman"/>
                <w:b/>
                <w:sz w:val="24"/>
                <w:szCs w:val="24"/>
              </w:rPr>
              <w:t>{{ organization.requisites }}</w:t>
            </w:r>
          </w:p>
          <w:p>
            <w:pPr>
              <w:pStyle w:val="Normal"/>
              <w:keepNext w:val="false"/>
              <w:keepLines w:val="false"/>
              <w:widowControl w:val="false"/>
              <w:pBdr/>
              <w:shd w:val="clear" w:fill="auto"/>
              <w:tabs>
                <w:tab w:val="clear" w:pos="709"/>
                <w:tab w:val="left" w:pos="0" w:leader="none"/>
              </w:tabs>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tabs>
                <w:tab w:val="clear" w:pos="709"/>
                <w:tab w:val="left" w:pos="0" w:leader="none"/>
              </w:tabs>
              <w:spacing w:lineRule="auto" w:line="240" w:before="0" w:after="0"/>
              <w:jc w:val="both"/>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 xml:space="preserve"> </w:t>
            </w:r>
            <w:r>
              <w:rPr>
                <w:rFonts w:eastAsia="Times New Roman" w:cs="Times New Roman"/>
                <w:sz w:val="24"/>
                <w:szCs w:val="24"/>
              </w:rPr>
              <w:t>______________   {{ organization.appeal }} / {{ organization.name }} {{ organization.second_name }} {{ organization.last_name }}</w:t>
            </w:r>
          </w:p>
          <w:p>
            <w:pPr>
              <w:pStyle w:val="Normal"/>
              <w:keepNext w:val="false"/>
              <w:keepLines w:val="false"/>
              <w:widowControl w:val="false"/>
              <w:pBdr/>
              <w:shd w:val="clear" w:fill="auto"/>
              <w:tabs>
                <w:tab w:val="clear" w:pos="709"/>
                <w:tab w:val="left" w:pos="0" w:leader="none"/>
                <w:tab w:val="left" w:pos="105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ab/>
            </w:r>
          </w:p>
        </w:tc>
        <w:tc>
          <w:tcPr>
            <w:tcW w:w="5220" w:type="dxa"/>
            <w:tcBorders/>
          </w:tcPr>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THE SELLERS:</w:t>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b/>
                <w:sz w:val="24"/>
                <w:szCs w:val="24"/>
              </w:rPr>
              <w:t>{{ organization.title_en }}</w:t>
            </w:r>
          </w:p>
          <w:p>
            <w:pPr>
              <w:pStyle w:val="Normal"/>
              <w:keepNext w:val="false"/>
              <w:keepLines w:val="false"/>
              <w:widowControl w:val="false"/>
              <w:pBdr/>
              <w:shd w:val="clear" w:fill="auto"/>
              <w:spacing w:lineRule="auto" w:line="240" w:before="0" w:after="0"/>
              <w:ind w:left="0" w:right="0" w:hanging="0"/>
              <w:jc w:val="left"/>
              <w:rPr>
                <w:rFonts w:ascii="Times New Roman" w:hAnsi="Times New Roman" w:eastAsia="Times New Roman" w:cs="Times New Roman"/>
                <w:b/>
                <w:b/>
                <w:sz w:val="24"/>
                <w:szCs w:val="24"/>
              </w:rPr>
            </w:pPr>
            <w:r>
              <w:rPr>
                <w:rFonts w:eastAsia="Times New Roman" w:cs="Times New Roman"/>
                <w:b/>
                <w:sz w:val="24"/>
                <w:szCs w:val="24"/>
              </w:rPr>
              <w:t>{{ organization.legal_address_en }}</w:t>
            </w:r>
          </w:p>
          <w:p>
            <w:pPr>
              <w:pStyle w:val="Normal"/>
              <w:keepNext w:val="false"/>
              <w:keepLines w:val="false"/>
              <w:widowControl w:val="false"/>
              <w:pBdr/>
              <w:shd w:val="clear" w:fill="auto"/>
              <w:spacing w:lineRule="auto" w:line="240" w:before="0" w:after="0"/>
              <w:ind w:left="0" w:right="0" w:hanging="0"/>
              <w:jc w:val="left"/>
              <w:rPr>
                <w:rFonts w:ascii="Times New Roman" w:hAnsi="Times New Roman" w:eastAsia="Times New Roman" w:cs="Times New Roman"/>
                <w:b/>
                <w:b/>
                <w:sz w:val="24"/>
                <w:szCs w:val="24"/>
              </w:rPr>
            </w:pPr>
            <w:r>
              <w:rPr>
                <w:rFonts w:eastAsia="Times New Roman" w:cs="Times New Roman"/>
                <w:b/>
                <w:sz w:val="24"/>
                <w:szCs w:val="24"/>
              </w:rPr>
              <w:t>Individual Taxpayer Number: {{ organization.tin }}</w:t>
            </w:r>
          </w:p>
          <w:p>
            <w:pPr>
              <w:pStyle w:val="Normal"/>
              <w:keepNext w:val="false"/>
              <w:keepLines w:val="false"/>
              <w:widowControl w:val="false"/>
              <w:pBdr/>
              <w:shd w:val="clear" w:fill="auto"/>
              <w:spacing w:lineRule="auto" w:line="240" w:before="0" w:after="0"/>
              <w:ind w:left="0" w:right="0" w:hanging="0"/>
              <w:jc w:val="left"/>
              <w:rPr>
                <w:rFonts w:ascii="Times New Roman" w:hAnsi="Times New Roman" w:eastAsia="Times New Roman" w:cs="Times New Roman"/>
                <w:sz w:val="24"/>
                <w:szCs w:val="24"/>
              </w:rPr>
            </w:pPr>
            <w:r>
              <w:rPr>
                <w:rFonts w:eastAsia="Times New Roman" w:cs="Times New Roman"/>
                <w:b/>
                <w:sz w:val="24"/>
                <w:szCs w:val="24"/>
              </w:rPr>
              <w:t>PSRN</w:t>
            </w:r>
            <w:r>
              <w:rPr>
                <w:rFonts w:eastAsia="Times New Roman" w:cs="Times New Roman"/>
                <w:sz w:val="24"/>
                <w:szCs w:val="24"/>
              </w:rPr>
              <w:t xml:space="preserve">: </w:t>
            </w:r>
            <w:r>
              <w:rPr>
                <w:rFonts w:eastAsia="Times New Roman" w:cs="Times New Roman"/>
                <w:b/>
                <w:sz w:val="24"/>
                <w:szCs w:val="24"/>
              </w:rPr>
              <w:t>{{ organization.pprnie }}</w:t>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BANK DETAILS:</w:t>
            </w:r>
          </w:p>
          <w:p>
            <w:pPr>
              <w:pStyle w:val="Normal"/>
              <w:widowControl w:val="false"/>
              <w:spacing w:lineRule="auto" w:line="240" w:before="0" w:after="0"/>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sz w:val="24"/>
                <w:szCs w:val="24"/>
              </w:rPr>
              <w:t>{{ organization.requisites_en }}</w:t>
            </w:r>
          </w:p>
          <w:p>
            <w:pPr>
              <w:pStyle w:val="Normal"/>
              <w:keepNext w:val="false"/>
              <w:keepLines w:val="false"/>
              <w:widowControl w:val="false"/>
              <w:pBdr/>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keepNext w:val="false"/>
              <w:keepLines w:val="false"/>
              <w:widowControl w:val="false"/>
              <w:pBdr/>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tabs>
                <w:tab w:val="clear" w:pos="709"/>
                <w:tab w:val="left" w:pos="0" w:leader="none"/>
              </w:tabs>
              <w:spacing w:lineRule="auto" w:line="240" w:before="0" w:after="0"/>
              <w:jc w:val="both"/>
              <w:rPr>
                <w:rFonts w:ascii="Times New Roman" w:hAnsi="Times New Roman" w:eastAsia="Times New Roman" w:cs="Times New Roman"/>
                <w:sz w:val="24"/>
                <w:szCs w:val="24"/>
              </w:rPr>
            </w:pPr>
            <w:r>
              <w:rPr>
                <w:rFonts w:eastAsia="Times New Roman" w:cs="Times New Roman"/>
                <w:sz w:val="24"/>
                <w:szCs w:val="24"/>
              </w:rPr>
            </w:r>
          </w:p>
          <w:p>
            <w:pPr>
              <w:pStyle w:val="Normal"/>
              <w:keepNext w:val="false"/>
              <w:keepLines w:val="false"/>
              <w:widowControl w:val="false"/>
              <w:pBdr/>
              <w:shd w:val="clear" w:fill="auto"/>
              <w:tabs>
                <w:tab w:val="clear" w:pos="709"/>
                <w:tab w:val="left" w:pos="0" w:leader="none"/>
              </w:tabs>
              <w:spacing w:lineRule="auto" w:line="240" w:before="0" w:after="0"/>
              <w:ind w:left="36"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____________   {{ organization.appeal_en }} / {{ organization.name_en }} {{ organization.second_name_en }} {{ organization.last_name_en }}</w:t>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u w:val="single"/>
              </w:rPr>
            </w:pPr>
            <w:r>
              <w:rPr>
                <w:rFonts w:eastAsia="Times New Roman" w:cs="Times New Roman"/>
                <w:sz w:val="24"/>
                <w:szCs w:val="24"/>
              </w:rPr>
              <w:t xml:space="preserve">             </w:t>
            </w:r>
          </w:p>
        </w:tc>
      </w:tr>
      <w:tr>
        <w:trPr>
          <w:trHeight w:val="390" w:hRule="atLeast"/>
        </w:trPr>
        <w:tc>
          <w:tcPr>
            <w:tcW w:w="5433" w:type="dxa"/>
            <w:tcBorders/>
          </w:tcPr>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ПОКУПАТЕЛЬ:</w:t>
            </w:r>
          </w:p>
          <w:p>
            <w:pPr>
              <w:pStyle w:val="Normal"/>
              <w:widowControl w:val="false"/>
              <w:spacing w:lineRule="auto" w:line="240" w:before="0" w:after="0"/>
              <w:rPr>
                <w:rFonts w:ascii="Times New Roman" w:hAnsi="Times New Roman" w:eastAsia="Times New Roman" w:cs="Times New Roman"/>
                <w:b/>
                <w:b/>
                <w:sz w:val="24"/>
                <w:szCs w:val="24"/>
                <w:highlight w:val="yellow"/>
              </w:rPr>
            </w:pPr>
            <w:r>
              <w:rPr>
                <w:rFonts w:eastAsia="Times New Roman" w:cs="Times New Roman"/>
                <w:b/>
                <w:sz w:val="24"/>
                <w:szCs w:val="24"/>
              </w:rPr>
              <w:t>{{ client.title }}</w:t>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Юридический Адрес: {{ client.legal_address }}</w:t>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highlight w:val="yellow"/>
              </w:rPr>
            </w:pPr>
            <w:r>
              <w:rPr>
                <w:rFonts w:eastAsia="Times New Roman" w:cs="Times New Roman"/>
                <w:sz w:val="24"/>
                <w:szCs w:val="24"/>
                <w:highlight w:val="yellow"/>
              </w:rPr>
              <w:t xml:space="preserve">       </w:t>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БАНКОВСКИЕ РЕКВИЗИТЫ:</w:t>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b/>
                <w:sz w:val="24"/>
                <w:szCs w:val="24"/>
              </w:rPr>
              <w:t>{{ client.requisites }}</w:t>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______________________ {{ client.appeal_en }}/ {{ client.initials }} {{ client.last_name }}</w:t>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r>
          </w:p>
        </w:tc>
        <w:tc>
          <w:tcPr>
            <w:tcW w:w="5220" w:type="dxa"/>
            <w:tcBorders/>
          </w:tcPr>
          <w:p>
            <w:pPr>
              <w:pStyle w:val="Normal"/>
              <w:widowControl w:val="false"/>
              <w:spacing w:lineRule="auto" w:line="240" w:before="0" w:after="0"/>
              <w:rPr>
                <w:rFonts w:ascii="Times New Roman" w:hAnsi="Times New Roman" w:eastAsia="Times New Roman" w:cs="Times New Roman"/>
                <w:sz w:val="24"/>
                <w:szCs w:val="24"/>
              </w:rPr>
            </w:pPr>
            <w:r>
              <w:rPr>
                <w:rFonts w:eastAsia="Times New Roman" w:cs="Times New Roman"/>
                <w:sz w:val="24"/>
                <w:szCs w:val="24"/>
              </w:rPr>
              <w:t>THE BUYERS:</w:t>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 client.title }}</w:t>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Address: {{ client.legal_address }}</w:t>
            </w:r>
          </w:p>
          <w:p>
            <w:pPr>
              <w:pStyle w:val="Normal"/>
              <w:keepNext w:val="false"/>
              <w:keepLines w:val="false"/>
              <w:widowControl w:val="false"/>
              <w:pBdr/>
              <w:shd w:val="clear" w:fill="auto"/>
              <w:tabs>
                <w:tab w:val="clear" w:pos="709"/>
                <w:tab w:val="left" w:pos="0" w:leader="none"/>
              </w:tabs>
              <w:spacing w:lineRule="auto" w:line="24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BANK DETAILS:</w:t>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 xml:space="preserve"> </w:t>
            </w:r>
            <w:r>
              <w:rPr>
                <w:rFonts w:eastAsia="Times New Roman" w:cs="Times New Roman"/>
                <w:b/>
                <w:sz w:val="24"/>
                <w:szCs w:val="24"/>
              </w:rPr>
              <w:t>{{ client.requisites }}</w:t>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r>
          </w:p>
          <w:p>
            <w:pPr>
              <w:pStyle w:val="Normal"/>
              <w:widowControl w:val="false"/>
              <w:spacing w:lineRule="auto" w:line="240" w:before="0" w:after="0"/>
              <w:rPr>
                <w:rFonts w:ascii="Times New Roman" w:hAnsi="Times New Roman" w:eastAsia="Times New Roman" w:cs="Times New Roman"/>
                <w:b/>
                <w:b/>
                <w:sz w:val="24"/>
                <w:szCs w:val="24"/>
              </w:rPr>
            </w:pPr>
            <w:r>
              <w:rPr>
                <w:rFonts w:eastAsia="Times New Roman" w:cs="Times New Roman"/>
                <w:b/>
                <w:sz w:val="24"/>
                <w:szCs w:val="24"/>
              </w:rPr>
              <w:t>______________________  {{ client.appeal_en }}/ {{ client.initials }} {{ client.last_name }}</w:t>
            </w:r>
          </w:p>
        </w:tc>
      </w:tr>
    </w:tbl>
    <w:p>
      <w:pPr>
        <w:pStyle w:val="Normal"/>
        <w:spacing w:lineRule="auto" w:line="240" w:before="0" w:after="200"/>
        <w:rPr/>
      </w:pPr>
      <w:r>
        <w:rPr/>
      </w:r>
    </w:p>
    <w:sectPr>
      <w:headerReference w:type="default" r:id="rId2"/>
      <w:type w:val="nextPage"/>
      <w:pgSz w:w="12240" w:h="15840"/>
      <w:pgMar w:left="720" w:right="540" w:header="720" w:top="777" w:footer="0" w:bottom="540" w:gutter="0"/>
      <w:pgNumType w:start="1" w:fmt="decimal"/>
      <w:formProt w:val="false"/>
      <w:textDirection w:val="lrTb"/>
      <w:docGrid w:type="default" w:linePitch="100" w:charSpace="4294963199"/>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Arial">
    <w:charset w:val="cc"/>
    <w:family w:val="roman"/>
    <w:pitch w:val="variable"/>
  </w:font>
  <w:font w:name="Segoe UI">
    <w:charset w:val="cc"/>
    <w:family w:val="roman"/>
    <w:pitch w:val="variable"/>
  </w:font>
  <w:font w:name="Liberation Sans">
    <w:altName w:val="Arial"/>
    <w:charset w:val="cc"/>
    <w:family w:val="swiss"/>
    <w:pitch w:val="variable"/>
  </w:font>
  <w:font w:name="Georgia">
    <w:charset w:val="cc"/>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keepNext w:val="false"/>
      <w:keepLines w:val="false"/>
      <w:widowControl/>
      <w:pBdr/>
      <w:shd w:val="clear" w:fill="auto"/>
      <w:tabs>
        <w:tab w:val="clear" w:pos="709"/>
        <w:tab w:val="center" w:pos="4680" w:leader="none"/>
        <w:tab w:val="right" w:pos="9360" w:leader="none"/>
      </w:tabs>
      <w:spacing w:lineRule="auto" w:line="240" w:before="0" w:after="0"/>
      <w:ind w:left="0" w:right="0" w:hanging="0"/>
      <w:jc w:val="center"/>
      <w:rPr>
        <w:rFonts w:ascii="Calibri" w:hAnsi="Calibri" w:eastAsia="Calibri" w:cs="Calibri"/>
        <w:b w:val="false"/>
        <w:b w:val="false"/>
        <w:i w:val="false"/>
        <w:i w:val="false"/>
        <w:caps w:val="false"/>
        <w:smallCaps w:val="false"/>
        <w:strike w:val="false"/>
        <w:dstrike w:val="false"/>
        <w:color w:val="000000"/>
        <w:position w:val="0"/>
        <w:sz w:val="24"/>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Page </w:t>
    </w:r>
    <w:r>
      <w:rPr/>
      <w:fldChar w:fldCharType="begin"/>
    </w:r>
    <w:r>
      <w:rPr/>
      <w:instrText> PAGE </w:instrText>
    </w:r>
    <w:r>
      <w:rPr/>
      <w:fldChar w:fldCharType="separate"/>
    </w:r>
    <w:r>
      <w:rPr/>
      <w:t>7</w:t>
    </w:r>
    <w:r>
      <w:rPr/>
      <w:fldChar w:fldCharType="end"/>
    </w: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 of </w:t>
    </w:r>
    <w:r>
      <w:rPr/>
      <w:fldChar w:fldCharType="begin"/>
    </w:r>
    <w:r>
      <w:rPr/>
      <w:instrText> NUMPAGES </w:instrText>
    </w:r>
    <w:r>
      <w:rPr/>
      <w:fldChar w:fldCharType="separate"/>
    </w:r>
    <w:r>
      <w:rPr/>
      <w:t>7</w:t>
    </w:r>
    <w:r>
      <w:rPr/>
      <w:fldChar w:fldCharType="end"/>
    </w:r>
  </w:p>
  <w:p>
    <w:pPr>
      <w:pStyle w:val="Normal"/>
      <w:keepNext w:val="false"/>
      <w:keepLines w:val="false"/>
      <w:widowControl/>
      <w:pBdr/>
      <w:shd w:val="clear" w:fill="auto"/>
      <w:tabs>
        <w:tab w:val="clear" w:pos="709"/>
        <w:tab w:val="center" w:pos="4680" w:leader="none"/>
        <w:tab w:val="right" w:pos="9360" w:leader="none"/>
      </w:tabs>
      <w:spacing w:lineRule="auto" w:line="240" w:before="0" w:after="0"/>
      <w:ind w:left="0" w:right="0" w:hanging="0"/>
      <w:jc w:val="left"/>
      <w:rPr>
        <w:rFonts w:ascii="Calibri" w:hAnsi="Calibri" w:eastAsia="Calibri" w:cs="Calibri"/>
        <w:b w:val="false"/>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5"/>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customStyle="1">
    <w:name w:val="Normal"/>
    <w:uiPriority w:val="99"/>
    <w:qFormat/>
    <w:rsid w:val="000d53b8"/>
    <w:pPr>
      <w:widowControl/>
      <w:tabs>
        <w:tab w:val="clear" w:pos="720"/>
        <w:tab w:val="left" w:pos="709" w:leader="none"/>
      </w:tabs>
      <w:suppressAutoHyphens w:val="true"/>
      <w:bidi w:val="0"/>
      <w:spacing w:lineRule="atLeast" w:line="100" w:before="0" w:after="200"/>
      <w:jc w:val="left"/>
    </w:pPr>
    <w:rPr>
      <w:rFonts w:ascii="Times New Roman" w:hAnsi="Times New Roman" w:eastAsia="Calibri" w:cs="Calibri"/>
      <w:color w:val="auto"/>
      <w:kern w:val="0"/>
      <w:sz w:val="24"/>
      <w:szCs w:val="24"/>
      <w:lang w:val="en-GB" w:eastAsia="ar-SA" w:bidi="hi-IN"/>
    </w:rPr>
  </w:style>
  <w:style w:type="paragraph" w:styleId="1">
    <w:name w:val="Heading 1"/>
    <w:basedOn w:val="Normal1"/>
    <w:next w:val="Normal1"/>
    <w:qFormat/>
    <w:pPr>
      <w:keepNext w:val="true"/>
      <w:keepLines/>
      <w:spacing w:lineRule="auto" w:line="240" w:before="480" w:after="120"/>
    </w:pPr>
    <w:rPr>
      <w:b/>
      <w:sz w:val="48"/>
      <w:szCs w:val="48"/>
    </w:rPr>
  </w:style>
  <w:style w:type="paragraph" w:styleId="2">
    <w:name w:val="Heading 2"/>
    <w:basedOn w:val="Normal1"/>
    <w:next w:val="Normal1"/>
    <w:qFormat/>
    <w:pPr>
      <w:keepNext w:val="true"/>
      <w:keepLines/>
      <w:spacing w:lineRule="auto" w:line="240" w:before="360" w:after="80"/>
    </w:pPr>
    <w:rPr>
      <w:b/>
      <w:sz w:val="36"/>
      <w:szCs w:val="36"/>
    </w:rPr>
  </w:style>
  <w:style w:type="paragraph" w:styleId="3">
    <w:name w:val="Heading 3"/>
    <w:basedOn w:val="Normal1"/>
    <w:next w:val="Normal1"/>
    <w:qFormat/>
    <w:pPr>
      <w:keepNext w:val="true"/>
      <w:keepLines/>
      <w:spacing w:lineRule="auto" w:line="240" w:before="280" w:after="80"/>
    </w:pPr>
    <w:rPr>
      <w:b/>
      <w:sz w:val="28"/>
      <w:szCs w:val="28"/>
    </w:rPr>
  </w:style>
  <w:style w:type="paragraph" w:styleId="4">
    <w:name w:val="Heading 4"/>
    <w:basedOn w:val="Normal1"/>
    <w:next w:val="Normal1"/>
    <w:qFormat/>
    <w:pPr>
      <w:keepNext w:val="true"/>
      <w:keepLines/>
      <w:spacing w:lineRule="auto" w:line="240" w:before="240" w:after="40"/>
    </w:pPr>
    <w:rPr>
      <w:b/>
      <w:sz w:val="24"/>
      <w:szCs w:val="24"/>
    </w:rPr>
  </w:style>
  <w:style w:type="paragraph" w:styleId="5">
    <w:name w:val="Heading 5"/>
    <w:basedOn w:val="Normal1"/>
    <w:next w:val="Normal1"/>
    <w:qFormat/>
    <w:pPr>
      <w:keepNext w:val="true"/>
      <w:keepLines/>
      <w:spacing w:lineRule="auto" w:line="240" w:before="220" w:after="40"/>
    </w:pPr>
    <w:rPr>
      <w:b/>
      <w:sz w:val="22"/>
      <w:szCs w:val="22"/>
    </w:rPr>
  </w:style>
  <w:style w:type="paragraph" w:styleId="6">
    <w:name w:val="Heading 6"/>
    <w:basedOn w:val="Normal1"/>
    <w:next w:val="Normal1"/>
    <w:qFormat/>
    <w:pPr>
      <w:keepNext w:val="true"/>
      <w:keepLines/>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Style8" w:customStyle="1">
    <w:name w:val="Верхний колонтитул Знак"/>
    <w:link w:val="a3"/>
    <w:uiPriority w:val="99"/>
    <w:qFormat/>
    <w:locked/>
    <w:rsid w:val="00c37d34"/>
    <w:rPr>
      <w:rFonts w:cs="Times New Roman"/>
    </w:rPr>
  </w:style>
  <w:style w:type="character" w:styleId="Style9" w:customStyle="1">
    <w:name w:val="Нижний колонтитул Знак"/>
    <w:link w:val="a5"/>
    <w:uiPriority w:val="99"/>
    <w:semiHidden/>
    <w:qFormat/>
    <w:locked/>
    <w:rsid w:val="00c37d34"/>
    <w:rPr>
      <w:rFonts w:cs="Times New Roman"/>
    </w:rPr>
  </w:style>
  <w:style w:type="character" w:styleId="FooterChar1" w:customStyle="1">
    <w:name w:val="Footer Char1"/>
    <w:uiPriority w:val="99"/>
    <w:semiHidden/>
    <w:qFormat/>
    <w:locked/>
    <w:rsid w:val="00c37d34"/>
    <w:rPr/>
  </w:style>
  <w:style w:type="character" w:styleId="Il" w:customStyle="1">
    <w:name w:val="il"/>
    <w:uiPriority w:val="99"/>
    <w:qFormat/>
    <w:rsid w:val="00527e7a"/>
    <w:rPr/>
  </w:style>
  <w:style w:type="character" w:styleId="Style10">
    <w:name w:val="Интернет-ссылка"/>
    <w:uiPriority w:val="99"/>
    <w:rsid w:val="00f7511a"/>
    <w:rPr>
      <w:rFonts w:cs="Times New Roman"/>
      <w:color w:val="0000FF"/>
      <w:u w:val="single"/>
    </w:rPr>
  </w:style>
  <w:style w:type="character" w:styleId="BodyTextChar" w:customStyle="1">
    <w:name w:val="Body Text Char"/>
    <w:uiPriority w:val="99"/>
    <w:semiHidden/>
    <w:qFormat/>
    <w:locked/>
    <w:rsid w:val="00f127c2"/>
    <w:rPr>
      <w:rFonts w:cs="Times New Roman"/>
      <w:lang w:val="en-US" w:eastAsia="zh-CN"/>
    </w:rPr>
  </w:style>
  <w:style w:type="character" w:styleId="Style11" w:customStyle="1">
    <w:name w:val="Основной текст Знак"/>
    <w:link w:val="aa"/>
    <w:uiPriority w:val="99"/>
    <w:semiHidden/>
    <w:qFormat/>
    <w:locked/>
    <w:rsid w:val="0061666b"/>
    <w:rPr>
      <w:rFonts w:ascii="Arial" w:hAnsi="Arial"/>
      <w:sz w:val="24"/>
      <w:lang w:val="en-US" w:eastAsia="ar-SA" w:bidi="ar-SA"/>
    </w:rPr>
  </w:style>
  <w:style w:type="character" w:styleId="Bodytext2" w:customStyle="1">
    <w:name w:val="Body text (2)_"/>
    <w:link w:val="Bodytext20"/>
    <w:uiPriority w:val="99"/>
    <w:qFormat/>
    <w:locked/>
    <w:rsid w:val="0041137f"/>
    <w:rPr>
      <w:rFonts w:ascii="Arial" w:hAnsi="Arial"/>
      <w:shd w:fill="FFFFFF" w:val="clear"/>
    </w:rPr>
  </w:style>
  <w:style w:type="character" w:styleId="Annotationreference">
    <w:name w:val="annotation reference"/>
    <w:uiPriority w:val="99"/>
    <w:semiHidden/>
    <w:qFormat/>
    <w:rsid w:val="00765d76"/>
    <w:rPr>
      <w:rFonts w:cs="Times New Roman"/>
      <w:sz w:val="16"/>
      <w:szCs w:val="16"/>
    </w:rPr>
  </w:style>
  <w:style w:type="character" w:styleId="Style12" w:customStyle="1">
    <w:name w:val="Текст выноски Знак"/>
    <w:basedOn w:val="DefaultParagraphFont"/>
    <w:link w:val="ae"/>
    <w:uiPriority w:val="99"/>
    <w:semiHidden/>
    <w:qFormat/>
    <w:rsid w:val="00ae17c4"/>
    <w:rPr>
      <w:rFonts w:ascii="Segoe UI" w:hAnsi="Segoe UI" w:cs="Segoe UI"/>
      <w:sz w:val="18"/>
      <w:szCs w:val="18"/>
      <w:lang w:val="en-US" w:eastAsia="zh-CN"/>
    </w:rPr>
  </w:style>
  <w:style w:type="character" w:styleId="Style13" w:customStyle="1">
    <w:name w:val="Текст примечания Знак"/>
    <w:basedOn w:val="DefaultParagraphFont"/>
    <w:link w:val="af0"/>
    <w:uiPriority w:val="99"/>
    <w:semiHidden/>
    <w:qFormat/>
    <w:rsid w:val="0005412b"/>
    <w:rPr>
      <w:rFonts w:cs="Calibri"/>
      <w:lang w:val="en-US" w:eastAsia="zh-CN"/>
    </w:rPr>
  </w:style>
  <w:style w:type="character" w:styleId="Style14" w:customStyle="1">
    <w:name w:val="Тема примечания Знак"/>
    <w:basedOn w:val="Style13"/>
    <w:link w:val="af2"/>
    <w:uiPriority w:val="99"/>
    <w:semiHidden/>
    <w:qFormat/>
    <w:rsid w:val="0005412b"/>
    <w:rPr>
      <w:rFonts w:cs="Calibri"/>
      <w:b/>
      <w:bCs/>
      <w:lang w:val="en-US" w:eastAsia="zh-CN"/>
    </w:rPr>
  </w:style>
  <w:style w:type="paragraph" w:styleId="Style15">
    <w:name w:val="Заголовок"/>
    <w:basedOn w:val="Normal"/>
    <w:next w:val="Style16"/>
    <w:qFormat/>
    <w:pPr>
      <w:keepNext w:val="true"/>
      <w:spacing w:before="240" w:after="120"/>
    </w:pPr>
    <w:rPr>
      <w:rFonts w:ascii="Liberation Sans" w:hAnsi="Liberation Sans" w:eastAsia="Microsoft YaHei" w:cs="Lucida Sans"/>
      <w:sz w:val="28"/>
      <w:szCs w:val="28"/>
    </w:rPr>
  </w:style>
  <w:style w:type="paragraph" w:styleId="Style16">
    <w:name w:val="Body Text"/>
    <w:basedOn w:val="Normal"/>
    <w:link w:val="ab"/>
    <w:uiPriority w:val="99"/>
    <w:rsid w:val="0061666b"/>
    <w:pPr>
      <w:tabs>
        <w:tab w:val="left" w:pos="360" w:leader="none"/>
        <w:tab w:val="left" w:pos="709" w:leader="none"/>
      </w:tabs>
      <w:spacing w:before="60" w:after="60"/>
      <w:jc w:val="both"/>
    </w:pPr>
    <w:rPr>
      <w:rFonts w:ascii="Arial" w:hAnsi="Arial"/>
      <w:szCs w:val="20"/>
      <w:lang w:val="en-US"/>
    </w:rPr>
  </w:style>
  <w:style w:type="paragraph" w:styleId="Style17">
    <w:name w:val="List"/>
    <w:basedOn w:val="Style16"/>
    <w:pPr/>
    <w:rPr>
      <w:rFonts w:cs="Lucida Sans"/>
    </w:rPr>
  </w:style>
  <w:style w:type="paragraph" w:styleId="Style18">
    <w:name w:val="Caption"/>
    <w:basedOn w:val="Normal"/>
    <w:qFormat/>
    <w:pPr>
      <w:suppressLineNumbers/>
      <w:spacing w:before="120" w:after="120"/>
    </w:pPr>
    <w:rPr>
      <w:rFonts w:cs="Lucida Sans"/>
      <w:i/>
      <w:iCs/>
      <w:sz w:val="24"/>
      <w:szCs w:val="24"/>
    </w:rPr>
  </w:style>
  <w:style w:type="paragraph" w:styleId="Style19">
    <w:name w:val="Указатель"/>
    <w:basedOn w:val="Normal"/>
    <w:qFormat/>
    <w:pPr>
      <w:suppressLineNumbers/>
    </w:pPr>
    <w:rPr>
      <w:rFonts w:cs="Lucida Sans"/>
    </w:rPr>
  </w:style>
  <w:style w:type="paragraph" w:styleId="Normal1" w:default="1">
    <w:name w:val="LO-normal"/>
    <w:qFormat/>
    <w:pPr>
      <w:widowControl/>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Style20">
    <w:name w:val="Title"/>
    <w:basedOn w:val="Normal1"/>
    <w:next w:val="Normal1"/>
    <w:qFormat/>
    <w:pPr>
      <w:keepNext w:val="true"/>
      <w:keepLines/>
      <w:spacing w:lineRule="auto" w:line="240" w:before="480" w:after="120"/>
    </w:pPr>
    <w:rPr>
      <w:b/>
      <w:sz w:val="72"/>
      <w:szCs w:val="72"/>
    </w:rPr>
  </w:style>
  <w:style w:type="paragraph" w:styleId="Style21">
    <w:name w:val="Верхний и нижний колонтитулы"/>
    <w:basedOn w:val="Normal"/>
    <w:qFormat/>
    <w:pPr/>
    <w:rPr/>
  </w:style>
  <w:style w:type="paragraph" w:styleId="Style22">
    <w:name w:val="Header"/>
    <w:basedOn w:val="Normal"/>
    <w:link w:val="a4"/>
    <w:uiPriority w:val="99"/>
    <w:rsid w:val="00c37d34"/>
    <w:pPr>
      <w:tabs>
        <w:tab w:val="clear" w:pos="709"/>
        <w:tab w:val="center" w:pos="4680" w:leader="none"/>
        <w:tab w:val="right" w:pos="9360" w:leader="none"/>
      </w:tabs>
      <w:spacing w:lineRule="auto" w:line="240" w:before="0" w:after="0"/>
    </w:pPr>
    <w:rPr>
      <w:rFonts w:cs="Times New Roman"/>
      <w:sz w:val="20"/>
      <w:szCs w:val="20"/>
      <w:lang w:val="ru-RU" w:eastAsia="ru-RU"/>
    </w:rPr>
  </w:style>
  <w:style w:type="paragraph" w:styleId="Style23">
    <w:name w:val="Footer"/>
    <w:basedOn w:val="Normal"/>
    <w:link w:val="a6"/>
    <w:uiPriority w:val="99"/>
    <w:rsid w:val="00c37d34"/>
    <w:pPr>
      <w:tabs>
        <w:tab w:val="clear" w:pos="709"/>
        <w:tab w:val="center" w:pos="4680" w:leader="none"/>
        <w:tab w:val="right" w:pos="9360" w:leader="none"/>
      </w:tabs>
      <w:spacing w:lineRule="auto" w:line="240" w:before="0" w:after="0"/>
    </w:pPr>
    <w:rPr>
      <w:rFonts w:cs="Times New Roman"/>
      <w:sz w:val="20"/>
      <w:szCs w:val="20"/>
      <w:lang w:val="ru-RU" w:eastAsia="ru-RU"/>
    </w:rPr>
  </w:style>
  <w:style w:type="paragraph" w:styleId="11" w:customStyle="1">
    <w:name w:val="Заголовок1"/>
    <w:basedOn w:val="Normal"/>
    <w:next w:val="Style16"/>
    <w:uiPriority w:val="99"/>
    <w:qFormat/>
    <w:rsid w:val="0061666b"/>
    <w:pPr>
      <w:keepNext w:val="true"/>
      <w:spacing w:before="240" w:after="120"/>
    </w:pPr>
    <w:rPr>
      <w:rFonts w:ascii="Arial" w:hAnsi="Arial" w:cs="Arial"/>
      <w:sz w:val="28"/>
      <w:szCs w:val="28"/>
    </w:rPr>
  </w:style>
  <w:style w:type="paragraph" w:styleId="12" w:customStyle="1">
    <w:name w:val="Текст1"/>
    <w:basedOn w:val="Normal"/>
    <w:uiPriority w:val="99"/>
    <w:qFormat/>
    <w:rsid w:val="00586686"/>
    <w:pPr/>
    <w:rPr/>
  </w:style>
  <w:style w:type="paragraph" w:styleId="32" w:customStyle="1">
    <w:name w:val="Основной текст 32"/>
    <w:basedOn w:val="Normal"/>
    <w:uiPriority w:val="99"/>
    <w:qFormat/>
    <w:rsid w:val="00352a39"/>
    <w:pPr>
      <w:spacing w:lineRule="auto" w:line="240" w:before="0" w:after="120"/>
    </w:pPr>
    <w:rPr>
      <w:sz w:val="16"/>
      <w:szCs w:val="16"/>
      <w:lang w:val="ru-RU" w:eastAsia="ar-SA"/>
    </w:rPr>
  </w:style>
  <w:style w:type="paragraph" w:styleId="ListParagraph">
    <w:name w:val="List Paragraph"/>
    <w:basedOn w:val="Normal"/>
    <w:uiPriority w:val="99"/>
    <w:qFormat/>
    <w:rsid w:val="00ff0a54"/>
    <w:pPr>
      <w:spacing w:lineRule="auto" w:line="259" w:before="0" w:after="160"/>
      <w:ind w:left="720" w:hanging="0"/>
    </w:pPr>
    <w:rPr>
      <w:lang w:val="ru-RU" w:eastAsia="en-US"/>
    </w:rPr>
  </w:style>
  <w:style w:type="paragraph" w:styleId="Bodytext21" w:customStyle="1">
    <w:name w:val="Body text (2)"/>
    <w:basedOn w:val="Normal"/>
    <w:link w:val="Bodytext2"/>
    <w:uiPriority w:val="99"/>
    <w:qFormat/>
    <w:rsid w:val="0041137f"/>
    <w:pPr>
      <w:widowControl w:val="false"/>
      <w:shd w:val="clear" w:color="auto" w:fill="FFFFFF"/>
      <w:spacing w:lineRule="atLeast" w:line="240" w:before="0" w:after="240"/>
      <w:jc w:val="both"/>
    </w:pPr>
    <w:rPr>
      <w:rFonts w:ascii="Arial" w:hAnsi="Arial" w:cs="Times New Roman"/>
      <w:sz w:val="20"/>
      <w:szCs w:val="20"/>
      <w:shd w:fill="FFFFFF" w:val="clear"/>
      <w:lang w:val="ru-RU" w:eastAsia="ru-RU"/>
    </w:rPr>
  </w:style>
  <w:style w:type="paragraph" w:styleId="BalloonText">
    <w:name w:val="Balloon Text"/>
    <w:basedOn w:val="Normal"/>
    <w:link w:val="af"/>
    <w:uiPriority w:val="99"/>
    <w:semiHidden/>
    <w:unhideWhenUsed/>
    <w:qFormat/>
    <w:rsid w:val="00ae17c4"/>
    <w:pPr>
      <w:spacing w:lineRule="auto" w:line="240" w:before="0" w:after="0"/>
    </w:pPr>
    <w:rPr>
      <w:rFonts w:ascii="Segoe UI" w:hAnsi="Segoe UI" w:cs="Segoe UI"/>
      <w:sz w:val="18"/>
      <w:szCs w:val="18"/>
    </w:rPr>
  </w:style>
  <w:style w:type="paragraph" w:styleId="Annotationtext">
    <w:name w:val="annotation text"/>
    <w:basedOn w:val="Normal"/>
    <w:link w:val="af1"/>
    <w:uiPriority w:val="99"/>
    <w:semiHidden/>
    <w:unhideWhenUsed/>
    <w:qFormat/>
    <w:rsid w:val="0005412b"/>
    <w:pPr>
      <w:spacing w:lineRule="auto" w:line="240"/>
    </w:pPr>
    <w:rPr>
      <w:sz w:val="20"/>
      <w:szCs w:val="20"/>
    </w:rPr>
  </w:style>
  <w:style w:type="paragraph" w:styleId="Annotationsubject">
    <w:name w:val="annotation subject"/>
    <w:basedOn w:val="Annotationtext"/>
    <w:next w:val="Annotationtext"/>
    <w:link w:val="af3"/>
    <w:uiPriority w:val="99"/>
    <w:semiHidden/>
    <w:unhideWhenUsed/>
    <w:qFormat/>
    <w:rsid w:val="0005412b"/>
    <w:pPr/>
    <w:rPr>
      <w:b/>
      <w:bCs/>
    </w:rPr>
  </w:style>
  <w:style w:type="paragraph" w:styleId="Style24">
    <w:name w:val="Subtitle"/>
    <w:basedOn w:val="Normal1"/>
    <w:next w:val="Normal1"/>
    <w:qFormat/>
    <w:pPr>
      <w:keepNext w:val="true"/>
      <w:keepLines/>
      <w:widowControl/>
      <w:pBdr/>
      <w:shd w:val="clear" w:fill="auto"/>
      <w:spacing w:lineRule="auto" w:line="276" w:before="360" w:after="80"/>
      <w:ind w:left="0" w:right="0" w:hanging="0"/>
      <w:jc w:val="left"/>
    </w:pPr>
    <w:rPr>
      <w:rFonts w:ascii="Georgia" w:hAnsi="Georgia" w:eastAsia="Georgia" w:cs="Georgia"/>
      <w:b w:val="false"/>
      <w:i/>
      <w:caps w:val="false"/>
      <w:smallCaps w:val="false"/>
      <w:strike w:val="false"/>
      <w:dstrike w:val="false"/>
      <w:color w:val="666666"/>
      <w:position w:val="0"/>
      <w:sz w:val="48"/>
      <w:sz w:val="48"/>
      <w:szCs w:val="48"/>
      <w:u w:val="none"/>
      <w:shd w:fill="auto" w:val="clear"/>
      <w:vertAlign w:val="baseline"/>
    </w:rPr>
  </w:style>
  <w:style w:type="numbering" w:styleId="NoList" w:default="1">
    <w:name w:val="No List"/>
    <w:uiPriority w:val="99"/>
    <w:semiHidden/>
    <w:unhideWhenUsed/>
    <w:qFormat/>
  </w:style>
  <w:style w:type="table" w:default="1" w:styleId="TableNormal">
    <w:name w:val="Table Normal"/>
  </w:style>
  <w:style w:type="table" w:default="1" w:styleId="TableNormal">
    <w:name w:val="Table Normal"/>
  </w:style>
  <w:style w:type="table" w:default="1" w:styleId="a1">
    <w:name w:val="Normal Table"/>
    <w:uiPriority w:val="99"/>
    <w:semiHidden/>
    <w:unhideWhenUsed/>
    <w:tblPr>
      <w:tblCellMar>
        <w:top w:w="0" w:type="dxa"/>
        <w:left w:w="108" w:type="dxa"/>
        <w:bottom w:w="0" w:type="dxa"/>
        <w:right w:w="108" w:type="dxa"/>
      </w:tblCellMar>
    </w:tblPr>
  </w:style>
  <w:style w:type="table" w:styleId="a7">
    <w:name w:val="Table Grid"/>
    <w:basedOn w:val="a1"/>
    <w:uiPriority w:val="99"/>
    <w:rsid w:val="00cc1810"/>
    <w:pPr>
      <w:spacing w:after="200" w:line="276" w:lineRule="auto"/>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VmkZ2Uisz9GNQTtryu/+ypJ3q8g==">AMUW2mXYsIxao451lb41wkqMRmZGP44i8pKC0ATJxADSYm3SyFL30RVTLvLE7793hHl/HqF8V1U3QS3Zkn1fHEIyggvSOXlXwD3/c8FOgcjhI5OrDh1su2nKs9HEvwZGx2OE4B6Jq2sd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LibreOffice/7.1.0.3$Windows_X86_64 LibreOffice_project/f6099ecf3d29644b5008cc8f48f42f4a40986e4c</Application>
  <AppVersion>15.0000</AppVersion>
  <Pages>7</Pages>
  <Words>2679</Words>
  <Characters>15821</Characters>
  <CharactersWithSpaces>18726</CharactersWithSpaces>
  <Paragraphs>149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2021-03-23T20:22:00Z</dcterms:created>
  <dc:creator>Bugs Bunny</dc:creator>
  <dc:description/>
  <dc:language>ru-RU</dc:language>
  <cp:lastModifiedBy/>
  <dcterms:modified xsi:type="dcterms:W3CDTF">2021-04-11T16:58:27Z</dcterms:modified>
  <cp:revision>1</cp:revision>
  <dc:subject/>
  <dc:title/>
</cp:coreProperties>
</file>