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1"/>
        <w:tblW w:w="10653.0" w:type="dxa"/>
        <w:jc w:val="left"/>
        <w:tblInd w:w="-106.0" w:type="dxa"/>
        <w:tblLayout w:type="fixed"/>
        <w:tblLook w:val="0000"/>
      </w:tblPr>
      <w:tblGrid>
        <w:gridCol w:w="5433"/>
        <w:gridCol w:w="5220"/>
        <w:tblGridChange w:id="0">
          <w:tblGrid>
            <w:gridCol w:w="5433"/>
            <w:gridCol w:w="5220"/>
          </w:tblGrid>
        </w:tblGridChange>
      </w:tblGrid>
      <w:tr>
        <w:trPr>
          <w:trHeight w:val="1387" w:hRule="atLeast"/>
        </w:trPr>
        <w:tc>
          <w:tcPr>
            <w:gridSpan w:val="2"/>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851" w:right="0" w:firstLine="0"/>
              <w:jc w:val="center"/>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SUPPLY CONTRACT №{{ number }}</w: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851" w:right="0" w:firstLine="0"/>
              <w:jc w:val="center"/>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ДОГОВОР ПОСТАВКИ №{{ number }}</w:t>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85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Novocherkassk/ Новочеркасск</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created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2510" w:hRule="atLeast"/>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Настоящим КОНТРАКТОМ  №{{ number }} от {{ created }} г., {{ client.title }} в лице {{ client.position }}, {{ client.appeal }} {{ client.name }} {{ client.second_name }} {{ client.last_name }} именуемый в дальнейшем ПОКУПАТЕЛЬ, с одной стороны, и {{ organization.title }}, в лице  {{ organization.position }} {{ organization.appeal }} {{ organization.last_name }}    {{ organization.name }} {{ organization.second_name }}, действующ{{ organization.word_ending }} на основании {{ organization.registration }}, именуемый в дальнейшем ПРОДАВЕЦ, с другой стороны, договорились о следующем: </w:t>
            </w:r>
          </w:p>
        </w:tc>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present CONTRACT No{{ number }} dated on  {{ created }}, {{ client.title }}, represented by {{ client.position_en }}, {{ client.appeal_en }} {{ client.name }} {{ client.second_name }} {{ client.last_name }}, hereinafter referred to as “THE BUYER”, on the one hand, and {{ organization.title_en }}, represented by {{ organization.position_en }} {{ organization.appeal_en }}   {{ organization.last_name_en }} {{ organization.name_en }} {{ organization.second_name_en }}, acting on the bases of the {{ organization.registration_en }}   on the other hand, hereinafter referred to as «THE SELLER», have agreed the following:</w:t>
            </w:r>
          </w:p>
        </w:tc>
      </w:tr>
      <w:tr>
        <w:trPr>
          <w:trHeight w:val="1486" w:hRule="atLeast"/>
        </w:trPr>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Предмет контракта</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Предметом настоящего контракта является поставка Кальянов и аксессуары к ним (далее -"Товар"). Условия поставки согласуются дополнительно в спецификациях к Контракту. </w: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Наименование, количество, цена, сроки поставки и условия платежа оговариваются в спецификации на каждую партию поставляемого товара, являющейся неотъемлемой частью настоящего контракта.</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tab/>
              <w:t xml:space="preserve">Реализация Товара происходит за пределами Российской Федерации без фактического пересечения товаром границы Российской Федерации.</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tab/>
              <w:t xml:space="preserve">Первичными документами к контракту являются:</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w:t>
              <w:tab/>
              <w:t xml:space="preserve">Спецификация с указанием номенклатуры, сроков, цены и условий поставки</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w:t>
              <w:tab/>
              <w:t xml:space="preserve">Инвойс с указанием номенклатуры, сроков поставки, цен и условий поставки.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Subject of contract</w:t>
            </w: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The subject of this contract is to supply the hookahs and accessories (hereinafter referred to as "products"). The terms of delivery are agreed additionally in the specifications to the Contract.</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The name, quantity, price, delivery and payment terms set forth in the specification for each batch of the products, that is a binding part of this contract.</w:t>
              <w:br w:type="textWrapping"/>
              <w:br w:type="textWrapping"/>
              <w:t xml:space="preserve">1.3. The Goods are selling outside the Russian Federation without actually crossing the border of the Russian Federation.</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tab/>
              <w:t xml:space="preserve">The primary documents for the contract are: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w:t>
              <w:tab/>
              <w:t xml:space="preserve">Specification specifying the product range, terms, price, and delivery conditions.</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w:t>
              <w:tab/>
              <w:t xml:space="preserve">Invoice specifying the product range, delivery dates, prices, and delivery terms.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22" w:hRule="atLeast"/>
        </w:trPr>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Цена и сумма контракта</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Цена на товар устанавливается в {{ currency.title }}.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Сумма контракта будет определяться по спецификациям на каждую поставку товара, с учетом таможенных, сертификационных расходов, ставка НДС 0 %.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tab/>
              <w:t xml:space="preserve">Цена Товаров включает в себя стоимость упаковки, маркировки Товара, расходы по его погрузке.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tab/>
              <w:t xml:space="preserve">Все банковские расходы банка Продавца несет Продавец, а все прочие расходы, включая банковские расходы банков-корреспондентов за счет Покупателя.</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Price and the amount of contract</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Price for products installed in {{ currency.char_code }}.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The contract amount is determined according to specifications for each product deliver, taking into account the customs, certification; the VAT rate is 0%.</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tab/>
              <w:t xml:space="preserve">The price of the Goods includes the cost of packaging, marking and loading of the Goods.</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tab/>
              <w:t xml:space="preserve">All bank charges of the Seller's bank are borne by the Seller, and all other costs, including bank charges of correspondent banks at the expense of the Buyer.</w:t>
            </w:r>
          </w:p>
        </w:tc>
      </w:tr>
      <w:tr>
        <w:trPr>
          <w:trHeight w:val="722" w:hRule="atLeast"/>
        </w:trPr>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Упаковка</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Товар должен быть упакован в картонную коробку и обеспечить сохранность продукции при ее погрузке, выгрузке, хранении и транспортировке.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Packing</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Packaging should be suitable for the kind of shipped product and shall guarantee security during transportation and storage.</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trHeight w:val="2124" w:hRule="atLeast"/>
        </w:trPr>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Условия оплаты и поставки товара</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Платеж за продукцию, поставляемую в счет настоящего контракта, должен производиться в {{ currency.title }}  на валютный счет Продавца, указанный в п.11 настоящего контракта, путем банковского перевода на основании инвойса, направленного Продавцом в адрес Покупателя в порядке и срок, установленных в спецификациях.</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Датой оплаты считается дата поступления денежных средств на расчетный счет Продавца.</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Приемка товара по качеству осуществляется в течение 20 календарных дней с момента поступления товара на склад «Покупателя».</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В случае расторжения контракта Покупателем или необоснованного отказа от получения продукции, последний уплачивает Продавцу все понесённые им убытки, связанные с производством и поставкой невостребованного товара в полном размере.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Payment conditions and supply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Payment for the products to be supplied under this contract shall be made in {{ currency.char_code }} to the bank account of the Seller which bank details are specified in paragraph 11 of this contract, by bank transfer on the basis of invoice sent by the Seller to the Buyer in the order and timing according to specification.</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The date of payment is the date when the payment enters to Seller’s bank account.</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Quality control of the goods is carried out within 20 calendar days since the moment of goods arrival to the Buyer’s warehouse.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In the event of termination of contract by the Buyer or rejection of products, the latest shall pay to the Seller all incurred losses relevant to the production and delivery of unclaimed products to the full.</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241" w:hRule="atLeast"/>
        </w:trPr>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Гарантии</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1"/>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Качество отгружаемого товара должно соответствовать качеству на данный вид товара.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Гарантийный срок на поставляемый товар указан в руководстве на эксплуатацию, начинает исчисляться с момента таможенного оформления на поставленную продукцию на территории Покупателя, но не более 12 месяцев со дня отгрузки.</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Гарантии качества распространяются только на Товар в случае, если Покупателем не нарушены соответствующие нормы, при его обслуживании, изложенные в руководстве на эксплуатацию.</w:t>
            </w:r>
          </w:p>
        </w:tc>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Guarantees</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5.1.  The quality of shipped products must comply with technical specifications for these products.</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The warranty period for the delivered equipment is specified in the maintenance manual/passport and will come into effect from the moment of customs clearance of products delivered to the Buyer's premises, but not more than 12 months from the date of shipment.</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The warranty of product quality applies only to the Goods if the Buyer does not violate any applicable standards which are stated in the maintenance manual.</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0" w:hRule="atLeast"/>
        </w:trPr>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 w:val="left" w:pos="360"/>
                <w:tab w:val="left" w:pos="720"/>
              </w:tabs>
              <w:spacing w:after="0" w:before="0" w:line="240" w:lineRule="auto"/>
              <w:ind w:left="36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6.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Права и обязанности Сторон, передача риска и права собственности</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 w:val="left" w:pos="720"/>
              </w:tabs>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Поставщик обязан:</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Поставить Товар Покупателю на условиях и в срок, указанные в согласованной сторонами спецификации.</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3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обеспечить соответствующую упаковку Товаров за свой счет;</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предоставить Покупателю вместе с Товаром следующие документы: коммерческий инвойс, упаковочный лист.</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Покупатель обязан:</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22" w:right="60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Принять Товар в месте и в срок, указанные в Спецификации, которая является неотъемлемой частью Договора;</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3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Оплатить Товары в соответствии с условиями, изложенными в Спецификациях к настоящему Договору.</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Право собственности на Товары и риск утраты/повреждения передаются Покупателю в момент передачи товаров Покупателю на условиях поставки согласованных в спецификациях.</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Rights and obligations of the Parties, transfer of risk and title</w:t>
            </w: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The Supplier shall:</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Deliver Goods on the conditions and within the period indicated in the specification agreed between the parties.</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Provide proper packaging for the Goods at its own expense;</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Provide the Buyer with the following documents together with the Goods: commercial invoice, packing list.</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The Buyer shall:</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Accept the Goods at the place and within terms indicated in the Specification that is an integral part of the Contract;</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Pay for the Goods in accordance with terms specified Specification to the present Contract.</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Title to the Goods and risk of loss/damage shall be transferred to the Buyer at the time delivery of the Goods by terms of deliver indicated in Specifications. </w:t>
            </w:r>
          </w:p>
        </w:tc>
      </w:tr>
      <w:tr>
        <w:trPr>
          <w:trHeight w:val="193" w:hRule="atLeast"/>
        </w:trPr>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Ответственность сторон</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 В случае нарушения Продавцом сроков отгрузки, предусмотренных настоящим контрактом, Покупатель вправе взыскать с Продавца  штраф в размере 0,01 (одна сотая) % от общей суммы контракта за каждый день просрочки, но не более 3% от суммы Спецификации  к контракту. За первые две недели просрочки штраф не начисляется.</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 За просрочку оплаты поставляемого товара, Продавец вправе взыскать с Покупателя штраф в размере 0,01 (дна сотая) % от суммы задолженности за каждый день просрочки, но не более 3% от суммы Спецификации  к контракту. За первые две недели просрочки штраф не начисляется.</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 Ответственность Сторон в иных случаях определяется в соответствии с действующим законодательством Российской Федерации.</w:t>
            </w:r>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Liability</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  In the case of Seller break the terms of shipment that are stipulated in this contract, The Buyer has the right to collect a fine from the Seller   in the amount of 0,01 (one hundredth) %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total contract sum for each day of delay, but not more than 3% of the specifications of the contract. For the first 2 weeks of delay fine there is not.</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7.2.  For delay in payment for the Seller has the right to charge the Buyer a fine in the amount of  0,01 (one hundredth) % of the delayed amount for each day of delay,  but not more than 3% of the specifications of the contract. For the first 2 weeks of delay fine there is not.</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 Responsibilities of the Parties in other cases are determined in accordance with the operating legislation of the Russian Federation.</w:t>
            </w:r>
          </w:p>
        </w:tc>
      </w:tr>
      <w:tr>
        <w:trPr>
          <w:trHeight w:val="193" w:hRule="atLeast"/>
        </w:trPr>
        <w:tc>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Форс-мажор</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 Стороны освобождаются от ответственности за частичное или полное неисполнение обязательств по настоящему контракту, если оно явилось следствием непреодолимой силы (форс-мажор), а именно: пожара, вирусов, наводнения, землетрясения, вооруженной агрессии, военных действий, актов терроризма или всеобщей военной мобилизации, делающих невозможным выполнение Сторонами принятых на себя обязательств, и если эти обстоятельства непосредственно повлияли на неисполнение настоящего контракта. При этом срок исполнения Сторонами их обязательств продлевается на период, в течение которого действовали эти обстоятельства.</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 Сторона, для которой создалась невозможность исполнения обязательств по контракту, немедленно извещает другую Сторону о наступлении и прекращении обстоятельств форс-мажор  причем уведомление о наличии и продолжительности обстоятельств форс-мажор должно быть подтверждено соответствующей Торговой Палатой страны Продавца/Покупателя.</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 Если указанные обстоятельства будут длиться более трех месяцев, то каждая из сторон будет вправе аннулировать контракт полностью или частично, и в этом случае ни одна из Сторон не будет иметь права потребовать от другой Стороны возмещения убытков.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Force majeure</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 Parties are not liable for the partial or full default of obligations under this contract, if it was caused by force majeure, namely: fire, viruses, floods, earthquakes, armed aggression, hostilities, acts of terrorism or the general military mobilization, which make it impossible for the Parties to fulfil their obligations, and if these circumstances directly caused failure of this contract. In these cases, the period for the Parties to fulfil their obligations extends for a period during which these circumstances are met.</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 The Party that fails to perform its obligations under the contract shall immediately notify the other Party of the commencement and cessation of force majeure, the notification of the availability and duration of force majeure must be confirmed by the relevant Chamber of Commerce of the Seller/ Buyer.</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 If these conditions last more than three months, each party will be entitled to terminate the contract in whole or in part, in which case neither Party shall have the right to demand from the other Party to reimburse for loss.</w:t>
            </w:r>
          </w:p>
        </w:tc>
      </w:tr>
      <w:tr>
        <w:trPr>
          <w:trHeight w:val="193" w:hRule="atLeast"/>
        </w:trPr>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Арбитраж</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 Все споры и разногласия, возникающие между Сторонами в процессе исполнения настоящего контракта, решаются путем двусторонних переговоров.</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 В случае, если невозможно прийти к согласию путем переговоров, споры в качестве крайней меры окончательно разрешаются Международным Коммерческим Арбитражным судом при Торговой промышленной палате Российской Федерации, в соответствии с его Регламентом и по праву России, на русском языке.</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9.3. Взаимоотношения Сторон, не предусмотренные настоящим контрактом, регулируются действующим законодательством Российской Федерации, а также межправительственными соглашениями.</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 Расходы по арбитражу несет проигравшая сторона.</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Arbitration</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9.1. All disputes and differences arising between the Parties during the execution of this contract shall be settled through bilateral negotiations.</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 If it is impossible to reach agreement by negotiation, dispute resolution as a last resort, be finally settled by the International Commercial Arbitration Court at the Commerce and Industry Chamber of the Russian Federation in accordance with its rules and law of Russia in Russian language.</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9.3. Relationship of the Parties not covered by this contract shall be governed by the operating legislation of the Russian Federation and intergovernmental agreements.</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 The cost of arbitrations will be paid by non-prevailing party.</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93" w:hRule="atLeast"/>
        </w:trPr>
        <w:tc>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Общие условия</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 С момента подписания настоящего контракта все предыдущие переговоры и переписка по нему теряют силу.</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709"/>
                <w:tab w:val="left" w:pos="11292"/>
              </w:tabs>
              <w:spacing w:after="0" w:before="0" w:line="240" w:lineRule="auto"/>
              <w:ind w:left="24"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 Все дополнения и изменения к настоящему контракту действительны лишь в том случае, если они совершены в письменной форме и подписаны уполномоченными на то представителями Сторон.</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709"/>
                <w:tab w:val="left" w:pos="11292"/>
              </w:tabs>
              <w:spacing w:after="0" w:before="0" w:line="240" w:lineRule="auto"/>
              <w:ind w:left="0"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709"/>
                <w:tab w:val="left" w:pos="11292"/>
              </w:tabs>
              <w:spacing w:after="0" w:before="0" w:line="240" w:lineRule="auto"/>
              <w:ind w:left="24"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 Правом настоящего контракта является право России.</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709"/>
                <w:tab w:val="left" w:pos="11292"/>
              </w:tabs>
              <w:spacing w:after="0" w:before="0" w:line="240" w:lineRule="auto"/>
              <w:ind w:left="24"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10.4. Стороны обязуются соблюдать условия конфиденциальности и не разглашать информацию, являющуюся коммерческим интересом другой стороны.                                                                    10.5. Ни одна из Сторон не вправе передавать полностью или частично свои права и обязательства по настоящему контракту третьим лицам без письменного согласия на то другой Стороны.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10.6. Настоящий контракт составлен в двух экземплярах, на английском и русском языках и имеет одинаковую юридическую силу для обеих Сторон. При интерпретации настоящего контракта текст на обоих языках является превалирующим.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10.7. В целях оперативного обмена документами Стороны договорились о возможности использовать в качестве официальных, имеющих юридическую силу документы, переданные посредством факсимильной связи, с последующим обменом оригиналами этих документов в течение 30(тридцати) календарных дней посредством почтового отправления.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10.8. Настоящий контракт вступает в силу с момента его подписания и действует до момента исполнения сторонами принятых на себя обязательств по настоящему контракту, но не позднее 31.12.{{ created_year }}. Истечение срока контракта не освобождает стороны от исполнения своих обязательств. Контракт считается автоматически продленным по окончании его срока на тот же срок и на тех же условиях, если до окончания его срока за один месяц ни одна из сторон не заявит о своем отказе от продления Контракта.</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10.9. Все приложения и дополнения к настоящему контракту являются его неотъемлемой частью. Все изменения и дополнения к настоящему контракту действительны лишь в том случае, если они совершены в письменной форме и подписаны обеими сторонами. </w:t>
            </w:r>
          </w:p>
        </w:tc>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General terms and conditions</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10.1. Since the moment of the signing of this contract all prior negotiations and correspondence become void.</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10.2. All additions and changes to this contract shall be effective only if they are set forth in writing and signed by authorized representatives of the Parties.</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 The law of this contract is the law of Russia.</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10.4. The Parties are obliged to abide by the terms of confidentiality and not to disclose information which is a commercial interest of another party.</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10.5. Neither Party is entitled to transfer all or part of its rights and obligations under this contract to third parties without a written consent of the other Party.</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10.6. This contract is made in two copies in English and Russian languages and has the same legal force for both Parties. In the interpretation of this contract the text in both languages is prevalent.</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10.7. In order to prompt exchange, the Parties agreed on the possibility of use as a formal, legally binding documents transmitted by facsimile, with the subsequent exchange of the originals of these documents within 30 (thirty) days through the postal item.</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10.8. This contract shall enter into force upon its signing and shall remain valid until the parties fulfil the obligations stipulated in this contract, but no later than 31.12.{{ created_year }}. The expiration of the contract does not relieve the Parties from their obligations. The contract is considered to be automatically extended at the end of its term for the same period and under the same conditions, if before the end of its term for one month, neither of the parties declares its refusal to extend the Contract.</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10.9. All applications and additions to the present contract are its integral part. All changes and additions to this Contract are valid only if they are made in writing and signed by both parties.</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634" w:hRule="atLeast"/>
        </w:trPr>
        <w:tc>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200" w:before="0" w:line="240"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Адреса, реквизиты Сторон</w:t>
            </w:r>
            <w:r w:rsidDel="00000000" w:rsidR="00000000" w:rsidRPr="00000000">
              <w:rPr>
                <w:rtl w:val="0"/>
              </w:rPr>
            </w:r>
          </w:p>
        </w:tc>
        <w:tc>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Addresses and details of the Parties</w:t>
            </w:r>
            <w:r w:rsidDel="00000000" w:rsidR="00000000" w:rsidRPr="00000000">
              <w:rPr>
                <w:rtl w:val="0"/>
              </w:rPr>
            </w:r>
          </w:p>
        </w:tc>
      </w:tr>
      <w:tr>
        <w:trPr>
          <w:trHeight w:val="390" w:hRule="atLeast"/>
        </w:trPr>
        <w:tc>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ПРОДАВЕЦ:</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organization.title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organization.legal_address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ИНН:{{ organization.tin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ОГРН(ИП):{{ organization.pprnie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3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БАНКОВСКИЕ РЕКВИЗИТЫ:</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organization.requisites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3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______________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organization.appeal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organization.last_name }} {{ organization.initials }}  </w:t>
            </w: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 w:val="left" w:pos="1050"/>
              </w:tabs>
              <w:spacing w:after="0" w:before="0" w:line="240" w:lineRule="auto"/>
              <w:ind w:left="3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p>
        </w:tc>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SELLERS:</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organization.title_en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organization.legal_address_en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Taxpayer Number: {{ organization.tin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PSRN: {{ organization.pprnie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BANK DETAILS:</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organization.requisites_en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3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3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3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organization.appeal_en }} {{ organization.name_en }} {{ organization.second_name_en }} {{ organization.last_name_en }}</w:t>
            </w: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trHeight w:val="390" w:hRule="atLeast"/>
        </w:trPr>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ПОКУПАТЕЛЬ:</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client.title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Юридический Адрес: {{ client.legal_address }}, {{ client.country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БАНКОВСКИЕ РЕКВИЗИТЫ:</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client.requisites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______________________ {{ client.appeal_en }}/ {{ client.initials }} {{ client.last_name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BUYERS:</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client.title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Address: {{ client.legal_address }}, {{ client.country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tabs>
                <w:tab w:val="left" w:pos="709"/>
                <w:tab w:val="left" w:pos="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BANK DETAILS:</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client.requisites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tabs>
                <w:tab w:val="left" w:pos="709"/>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______________________  {{ client.appeal_en }}/ {{ client.initials }} {{ client.last_name }}</w:t>
            </w:r>
          </w:p>
        </w:tc>
      </w:tr>
    </w:tbl>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left" w:pos="709"/>
        </w:tabs>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6" w:type="default"/>
      <w:pgSz w:h="15840" w:w="12240" w:orient="portrait"/>
      <w:pgMar w:bottom="540" w:top="777" w:left="720" w:right="5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left" w:pos="709"/>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left" w:pos="709"/>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240" w:lineRule="auto"/>
    </w:pPr>
    <w:rPr>
      <w:b w:val="1"/>
      <w:sz w:val="48"/>
      <w:szCs w:val="48"/>
    </w:rPr>
  </w:style>
  <w:style w:type="paragraph" w:styleId="Heading2">
    <w:name w:val="heading 2"/>
    <w:basedOn w:val="Normal"/>
    <w:next w:val="Normal"/>
    <w:pPr>
      <w:keepNext w:val="1"/>
      <w:keepLines w:val="1"/>
      <w:spacing w:after="80" w:before="360" w:line="240" w:lineRule="auto"/>
    </w:pPr>
    <w:rPr>
      <w:b w:val="1"/>
      <w:sz w:val="36"/>
      <w:szCs w:val="36"/>
    </w:rPr>
  </w:style>
  <w:style w:type="paragraph" w:styleId="Heading3">
    <w:name w:val="heading 3"/>
    <w:basedOn w:val="Normal"/>
    <w:next w:val="Normal"/>
    <w:pPr>
      <w:keepNext w:val="1"/>
      <w:keepLines w:val="1"/>
      <w:spacing w:after="80" w:before="280" w:line="240" w:lineRule="auto"/>
    </w:pPr>
    <w:rPr>
      <w:b w:val="1"/>
      <w:sz w:val="28"/>
      <w:szCs w:val="28"/>
    </w:rPr>
  </w:style>
  <w:style w:type="paragraph" w:styleId="Heading4">
    <w:name w:val="heading 4"/>
    <w:basedOn w:val="Normal"/>
    <w:next w:val="Normal"/>
    <w:pPr>
      <w:keepNext w:val="1"/>
      <w:keepLines w:val="1"/>
      <w:spacing w:after="40" w:before="240" w:line="240" w:lineRule="auto"/>
    </w:pPr>
    <w:rPr>
      <w:b w:val="1"/>
      <w:sz w:val="24"/>
      <w:szCs w:val="24"/>
    </w:rPr>
  </w:style>
  <w:style w:type="paragraph" w:styleId="Heading5">
    <w:name w:val="heading 5"/>
    <w:basedOn w:val="Normal"/>
    <w:next w:val="Normal"/>
    <w:pPr>
      <w:keepNext w:val="1"/>
      <w:keepLines w:val="1"/>
      <w:spacing w:after="40" w:before="220" w:line="240" w:lineRule="auto"/>
    </w:pPr>
    <w:rPr>
      <w:b w:val="1"/>
      <w:sz w:val="22"/>
      <w:szCs w:val="22"/>
    </w:rPr>
  </w:style>
  <w:style w:type="paragraph" w:styleId="Heading6">
    <w:name w:val="heading 6"/>
    <w:basedOn w:val="Normal"/>
    <w:next w:val="Normal"/>
    <w:pPr>
      <w:keepNext w:val="1"/>
      <w:keepLines w:val="1"/>
      <w:spacing w:after="40" w:before="200" w:line="240" w:lineRule="auto"/>
    </w:pPr>
    <w:rPr>
      <w:b w:val="1"/>
      <w:sz w:val="20"/>
      <w:szCs w:val="20"/>
    </w:rPr>
  </w:style>
  <w:style w:type="paragraph" w:styleId="Title">
    <w:name w:val="Title"/>
    <w:basedOn w:val="Normal"/>
    <w:next w:val="Normal"/>
    <w:pPr>
      <w:keepNext w:val="1"/>
      <w:keepLines w:val="1"/>
      <w:spacing w:after="120" w:before="480" w:line="240" w:lineRule="auto"/>
    </w:pPr>
    <w:rPr>
      <w:b w:val="1"/>
      <w:sz w:val="72"/>
      <w:szCs w:val="72"/>
    </w:rPr>
  </w:style>
  <w:style w:type="paragraph" w:styleId="Subtitle">
    <w:name w:val="Subtitle"/>
    <w:basedOn w:val="Normal"/>
    <w:next w:val="Normal"/>
    <w:pPr>
      <w:keepNext w:val="1"/>
      <w:keepLines w:val="1"/>
      <w:widowControl w:val="1"/>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