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keepNext w:val="false"/>
        <w:keepLines w:val="false"/>
        <w:widowControl w:val="false"/>
        <w:shd w:val="clear" w:fill="auto"/>
        <w:spacing w:lineRule="auto" w:line="276" w:before="0" w:after="0"/>
        <w:ind w:left="0" w:right="0" w:hanging="0"/>
        <w:jc w:val="left"/>
        <w:rPr>
          <w:rFonts w:ascii="Arial" w:hAnsi="Arial" w:eastAsia="Arial" w:cs="Arial"/>
          <w:b w:val="false"/>
          <w:b w:val="false"/>
          <w:i w:val="false"/>
          <w:i w:val="false"/>
          <w:caps w:val="false"/>
          <w:smallCaps w:val="false"/>
          <w:strike w:val="false"/>
          <w:dstrike w:val="false"/>
          <w:color w:val="000000"/>
          <w:position w:val="0"/>
          <w:sz w:val="24"/>
          <w:sz w:val="22"/>
          <w:szCs w:val="22"/>
          <w:u w:val="none"/>
          <w:shd w:fill="auto" w:val="clear"/>
          <w:vertAlign w:val="baseline"/>
        </w:rPr>
      </w:pPr>
      <w:r>
        <w:rPr>
          <w:rFonts w:eastAsia="Arial" w:cs="Arial" w:ascii="Arial" w:hAnsi="Arial"/>
        </w:rPr>
        <w:t>.</w:t>
      </w:r>
    </w:p>
    <w:tbl>
      <w:tblPr>
        <w:tblStyle w:val="Table1"/>
        <w:tblW w:w="10654" w:type="dxa"/>
        <w:jc w:val="left"/>
        <w:tblInd w:w="-106" w:type="dxa"/>
        <w:tblLayout w:type="fixed"/>
        <w:tblCellMar>
          <w:top w:w="0" w:type="dxa"/>
          <w:left w:w="108" w:type="dxa"/>
          <w:bottom w:w="0" w:type="dxa"/>
          <w:right w:w="108" w:type="dxa"/>
        </w:tblCellMar>
        <w:tblLook w:val="0000"/>
      </w:tblPr>
      <w:tblGrid>
        <w:gridCol w:w="5433"/>
        <w:gridCol w:w="5220"/>
      </w:tblGrid>
      <w:tr>
        <w:trPr>
          <w:trHeight w:val="1387" w:hRule="atLeast"/>
        </w:trPr>
        <w:tc>
          <w:tcPr>
            <w:tcW w:w="10653" w:type="dxa"/>
            <w:gridSpan w:val="2"/>
            <w:tcBorders/>
          </w:tcPr>
          <w:p>
            <w:pPr>
              <w:pStyle w:val="Normal"/>
              <w:widowControl w:val="false"/>
              <w:spacing w:lineRule="auto" w:line="240" w:before="0" w:after="0"/>
              <w:ind w:left="851" w:hanging="0"/>
              <w:jc w:val="center"/>
              <w:rPr>
                <w:rFonts w:ascii="Times New Roman" w:hAnsi="Times New Roman" w:eastAsia="Times New Roman" w:cs="Times New Roman"/>
                <w:b/>
                <w:b/>
                <w:sz w:val="24"/>
                <w:szCs w:val="24"/>
                <w:highlight w:val="yellow"/>
              </w:rPr>
            </w:pPr>
            <w:r>
              <w:rPr>
                <w:rFonts w:eastAsia="Times New Roman" w:cs="Times New Roman"/>
                <w:b/>
                <w:sz w:val="24"/>
                <w:szCs w:val="24"/>
              </w:rPr>
              <w:t>SUPPLY CONTRACT №{{ number }}</w:t>
            </w:r>
          </w:p>
          <w:p>
            <w:pPr>
              <w:pStyle w:val="Normal"/>
              <w:widowControl w:val="false"/>
              <w:spacing w:lineRule="auto" w:line="240" w:before="0" w:after="0"/>
              <w:ind w:left="851" w:hanging="0"/>
              <w:jc w:val="center"/>
              <w:rPr>
                <w:rFonts w:ascii="Times New Roman" w:hAnsi="Times New Roman" w:eastAsia="Times New Roman" w:cs="Times New Roman"/>
                <w:b/>
                <w:b/>
                <w:sz w:val="24"/>
                <w:szCs w:val="24"/>
                <w:highlight w:val="yellow"/>
              </w:rPr>
            </w:pPr>
            <w:r>
              <w:rPr>
                <w:rFonts w:eastAsia="Times New Roman" w:cs="Times New Roman"/>
                <w:b/>
                <w:sz w:val="24"/>
                <w:szCs w:val="24"/>
              </w:rPr>
              <w:t>ДОГОВОР ПОСТАВКИ №{{ number }}</w:t>
            </w:r>
          </w:p>
          <w:p>
            <w:pPr>
              <w:pStyle w:val="Normal"/>
              <w:widowControl w:val="false"/>
              <w:spacing w:lineRule="auto" w:line="240" w:before="0" w:after="0"/>
              <w:ind w:left="851" w:hanging="0"/>
              <w:jc w:val="center"/>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Novocherkassk/ Новочеркасск</w:t>
            </w:r>
            <w:r>
              <w:rPr>
                <w:rFonts w:eastAsia="Times New Roman" w:cs="Times New Roman"/>
                <w:b/>
                <w:sz w:val="24"/>
                <w:szCs w:val="24"/>
              </w:rPr>
              <w:tab/>
            </w:r>
            <w:r>
              <w:rPr>
                <w:rFonts w:eastAsia="Times New Roman" w:cs="Times New Roman"/>
                <w:sz w:val="24"/>
                <w:szCs w:val="24"/>
              </w:rPr>
              <w:t xml:space="preserve">                                                                                            {{ created }}</w:t>
            </w:r>
          </w:p>
          <w:p>
            <w:pPr>
              <w:pStyle w:val="Normal"/>
              <w:widowControl w:val="false"/>
              <w:spacing w:lineRule="auto" w:line="240" w:before="0" w:after="0"/>
              <w:ind w:left="851" w:hanging="0"/>
              <w:rPr/>
            </w:pPr>
            <w:r>
              <w:rPr/>
            </w:r>
          </w:p>
        </w:tc>
      </w:tr>
      <w:tr>
        <w:trPr>
          <w:trHeight w:val="2510" w:hRule="atLeast"/>
        </w:trPr>
        <w:tc>
          <w:tcPr>
            <w:tcW w:w="5433" w:type="dxa"/>
            <w:tcBorders/>
          </w:tcPr>
          <w:p>
            <w:pPr>
              <w:pStyle w:val="Normal"/>
              <w:widowControl w:val="false"/>
              <w:spacing w:lineRule="auto" w:line="240" w:before="0" w:after="200"/>
              <w:jc w:val="both"/>
              <w:rPr>
                <w:rFonts w:ascii="Times New Roman" w:hAnsi="Times New Roman" w:eastAsia="Times New Roman" w:cs="Times New Roman"/>
                <w:sz w:val="24"/>
                <w:szCs w:val="24"/>
              </w:rPr>
            </w:pPr>
            <w:r>
              <w:rPr>
                <w:rFonts w:eastAsia="Times New Roman" w:cs="Times New Roman"/>
                <w:sz w:val="24"/>
                <w:szCs w:val="24"/>
              </w:rPr>
              <w:t xml:space="preserve">Настоящим КОНТРАКТОМ  №{{ number }} от {{ created }} г., {{ client.title }} </w:t>
            </w:r>
            <w:r>
              <w:rPr>
                <w:rFonts w:eastAsia="Times New Roman" w:cs="Times New Roman"/>
                <w:color w:val="000000"/>
                <w:sz w:val="24"/>
                <w:szCs w:val="24"/>
              </w:rPr>
              <w:t>в лице</w:t>
            </w:r>
            <w:r>
              <w:rPr>
                <w:rFonts w:eastAsia="Times New Roman" w:cs="Times New Roman"/>
                <w:sz w:val="24"/>
                <w:szCs w:val="24"/>
              </w:rPr>
              <w:t xml:space="preserve"> {{ client.position }}</w:t>
            </w:r>
            <w:r>
              <w:rPr>
                <w:rFonts w:eastAsia="Times New Roman" w:cs="Times New Roman"/>
                <w:color w:val="000000"/>
                <w:sz w:val="24"/>
                <w:szCs w:val="24"/>
              </w:rPr>
              <w:t xml:space="preserve">, </w:t>
            </w:r>
            <w:r>
              <w:rPr>
                <w:rFonts w:eastAsia="Times New Roman" w:cs="Times New Roman"/>
                <w:sz w:val="24"/>
                <w:szCs w:val="24"/>
              </w:rPr>
              <w:t>{{ client.appeal }}</w:t>
            </w:r>
            <w:r>
              <w:rPr>
                <w:rFonts w:eastAsia="Times New Roman" w:cs="Times New Roman"/>
                <w:color w:val="000000"/>
                <w:sz w:val="24"/>
                <w:szCs w:val="24"/>
              </w:rPr>
              <w:t xml:space="preserve"> </w:t>
            </w:r>
            <w:r>
              <w:rPr>
                <w:rFonts w:eastAsia="Times New Roman" w:cs="Times New Roman"/>
                <w:sz w:val="24"/>
                <w:szCs w:val="24"/>
              </w:rPr>
              <w:t>{{ client.name }} {{ client.second_name }} {{ client.last_name }} именуемый  в  дальнейшем ПОКУПАТЕЛЬ, с одной стороны, и</w:t>
            </w:r>
            <w:r>
              <w:rPr>
                <w:rFonts w:eastAsia="Times New Roman" w:cs="Times New Roman"/>
                <w:color w:val="000000"/>
                <w:sz w:val="24"/>
                <w:szCs w:val="24"/>
              </w:rPr>
              <w:t xml:space="preserve"> </w:t>
            </w:r>
            <w:r>
              <w:rPr>
                <w:rFonts w:eastAsia="Times New Roman" w:cs="Times New Roman"/>
                <w:sz w:val="24"/>
                <w:szCs w:val="24"/>
              </w:rPr>
              <w:t>{{ organization.title }}</w:t>
            </w:r>
            <w:r>
              <w:rPr>
                <w:rFonts w:eastAsia="Times New Roman" w:cs="Times New Roman"/>
                <w:color w:val="000000"/>
                <w:sz w:val="24"/>
                <w:szCs w:val="24"/>
              </w:rPr>
              <w:t>, в лиц</w:t>
            </w:r>
            <w:r>
              <w:rPr>
                <w:rFonts w:eastAsia="Times New Roman" w:cs="Times New Roman"/>
                <w:sz w:val="24"/>
                <w:szCs w:val="24"/>
              </w:rPr>
              <w:t>е  {{ organization.</w:t>
            </w:r>
            <w:r>
              <w:rPr>
                <w:rFonts w:eastAsia="Times New Roman" w:cs="Times New Roman"/>
                <w:sz w:val="24"/>
                <w:szCs w:val="24"/>
                <w:lang w:val="en-GB" w:eastAsia="ar-SA"/>
              </w:rPr>
              <w:t>position</w:t>
            </w:r>
            <w:r>
              <w:rPr>
                <w:rFonts w:eastAsia="Times New Roman" w:cs="Times New Roman"/>
                <w:sz w:val="24"/>
                <w:szCs w:val="24"/>
              </w:rPr>
              <w:t xml:space="preserve"> }} {{ organization.appeal }} {{ organization.last_name }}    {{ organization.name }} {{ organization.second_name }}, действующ{{ organization.word_ending }} на основании {{ organization.registration }}, именуемый в дальнейшем ПРОДАВЕЦ, с другой стороны, договорились о следующем: </w:t>
            </w:r>
          </w:p>
        </w:tc>
        <w:tc>
          <w:tcPr>
            <w:tcW w:w="5220" w:type="dxa"/>
            <w:tcBorders/>
          </w:tcPr>
          <w:p>
            <w:pPr>
              <w:pStyle w:val="Normal"/>
              <w:widowControl w:val="false"/>
              <w:spacing w:lineRule="auto" w:line="240" w:before="0" w:after="200"/>
              <w:jc w:val="both"/>
              <w:rPr>
                <w:rFonts w:ascii="Times New Roman" w:hAnsi="Times New Roman" w:eastAsia="Times New Roman" w:cs="Times New Roman"/>
                <w:sz w:val="24"/>
                <w:szCs w:val="24"/>
              </w:rPr>
            </w:pPr>
            <w:bookmarkStart w:id="0" w:name="_heading=h.gjdgxs"/>
            <w:bookmarkEnd w:id="0"/>
            <w:r>
              <w:rPr>
                <w:rFonts w:eastAsia="Times New Roman" w:cs="Times New Roman"/>
                <w:sz w:val="24"/>
                <w:szCs w:val="24"/>
              </w:rPr>
              <w:t>With the present CONTRACT No{{ number }} dated on  {{ created }}, {{ client.title }}, represented by {{ client.position_en }}, {{ client.appeal_en }} {{ client.name }} {{ client.second_name }} {{ client.last_name }}, hereinafter referred to as “THE BUYER”, on the one hand, and {{ organization.title_en }}, represented by {{ organization.</w:t>
            </w:r>
            <w:r>
              <w:rPr>
                <w:rFonts w:eastAsia="Times New Roman" w:cs="Times New Roman"/>
                <w:sz w:val="24"/>
                <w:szCs w:val="24"/>
                <w:lang w:val="en-GB" w:eastAsia="ar-SA"/>
              </w:rPr>
              <w:t>position_en</w:t>
            </w:r>
            <w:r>
              <w:rPr>
                <w:rFonts w:eastAsia="Times New Roman" w:cs="Times New Roman"/>
                <w:sz w:val="24"/>
                <w:szCs w:val="24"/>
              </w:rPr>
              <w:t xml:space="preserve"> }} {{ organization.appeal_en }}   {{ organization.last_name_en }} {{ organization.name_en }} {{ organization.second_name_en }}, acting on the bases of the {{ organization.registration_en }}   on the other hand, hereinafter referred to as «THE SELLER», have agreed the following:</w:t>
            </w:r>
          </w:p>
        </w:tc>
      </w:tr>
      <w:tr>
        <w:trPr>
          <w:trHeight w:val="1486"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 Предмет контракта</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1.1. Предметом настоящего контракта является поставка Кальянов и аксессуары к ним (далее -"Товар"). Условия поставки согласуются дополнительно в спецификациях к Контракту.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1.2 Наименование, количество, цена, сроки поставки и условия платежа оговариваются в спецификации на каждую партию поставляемого товара, являющейся неотъемлемой частью настоящего контракта.</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1.3.</w:t>
              <w:tab/>
              <w:t>Реализация Товара происходит за пределами Российской Федерации без фактического пресечения товаром границы Российской Федерации.</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w:t>
              <w:tab/>
              <w:t>Первичными документами к контракту являются: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1.4.1.</w:t>
              <w:tab/>
              <w:t>Спецификация с указанием номенклатуры, сроков, цены и условий поставки</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1.4.2.</w:t>
              <w:tab/>
              <w:t xml:space="preserve">Инвойс с указанием номенклатуры, сроков поставки, цен и условий поставки.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 Subject of contract</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1.1. The subject of this contract is to supply the hookahs and accessories (hereinafter referred to as "products"). The terms of delivery are agreed additionally in the specifications to the Contract.</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1.2. The name, quantity, price, delivery and payment terms set forth in the specification for each batch of the products, that is a binding part of this contract.</w:t>
              <w:br/>
              <w:br/>
              <w:t>1.3. The Goods are selling outside the Russian Federation without actually crossing the border of the Russian Federation.</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w:t>
              <w:tab/>
              <w:t xml:space="preserve">The primary documents for the contract are: </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1.4.1.</w:t>
              <w:tab/>
              <w:t>Specification specifying the product range, terms, price, and delivery conditions.</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1.4.2.</w:t>
              <w:tab/>
              <w:t xml:space="preserve">Invoice specifying the product range, delivery dates, prices, and delivery terms. </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722"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2. Цена и сумма контракта</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2.1. Цена на товар устанавливается в</w:t>
            </w:r>
            <w:r>
              <w:rPr>
                <w:rFonts w:eastAsia="Times New Roman" w:cs="Times New Roman"/>
                <w:sz w:val="24"/>
                <w:szCs w:val="24"/>
              </w:rPr>
              <w:t xml:space="preserve"> {{ currency.title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2.2 Сумма контракта будет определяться по спецификациям на каждую поставку товара, с учетом таможенных, сертификационных расходов, ставка НДС 0 %.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2.3.</w:t>
              <w:tab/>
              <w:t xml:space="preserve">Цена Товаров включает в себя стоимость упаковки, маркировки Товара, расходы по его погрузке.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2.4.</w:t>
              <w:tab/>
              <w:t>Все банковские расходы банка Продавца несет Продавец, а все прочие расходы, включая банковские расходы банков-корреспондентов за счет Покупателя.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2. Price and the amount of contract</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2.1. Price for products installed in </w:t>
            </w:r>
            <w:r>
              <w:rPr>
                <w:rFonts w:eastAsia="Times New Roman" w:cs="Times New Roman"/>
                <w:sz w:val="24"/>
                <w:szCs w:val="24"/>
              </w:rPr>
              <w:t>{{ currency.char_code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2.2. The contract amount is determined according to specifications for each product deliver, taking into account the customs, certification; the VAT rate is 0%.</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2.3.</w:t>
              <w:tab/>
              <w:t>The price of the Goods includes the cost of packaging, marking and loading of the Goods.</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2.4.</w:t>
              <w:tab/>
              <w:t>All bank charges of the Seller's bank are borne by the Seller, and all other costs, including bank charges of correspondent banks at the expense of the Buyer.</w:t>
            </w:r>
          </w:p>
        </w:tc>
      </w:tr>
      <w:tr>
        <w:trPr>
          <w:trHeight w:val="722"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3. Упаковка</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3.1. Товар должен быть упакован в картонную коробку и обеспечить сохранность продукции при ее погрузке, выгрузке, хранении и транспортировке.            </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3. Packing</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ind w:left="15" w:hanging="0"/>
              <w:jc w:val="both"/>
              <w:rPr>
                <w:rFonts w:ascii="Times New Roman" w:hAnsi="Times New Roman" w:eastAsia="Times New Roman" w:cs="Times New Roman"/>
                <w:sz w:val="24"/>
                <w:szCs w:val="24"/>
              </w:rPr>
            </w:pPr>
            <w:r>
              <w:rPr>
                <w:rFonts w:eastAsia="Times New Roman" w:cs="Times New Roman"/>
                <w:sz w:val="24"/>
                <w:szCs w:val="24"/>
              </w:rPr>
              <w:t>3.1. Packaging should be suitable for the kind of shipped product and shall guarantee security during transportation and storage.</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tc>
      </w:tr>
      <w:tr>
        <w:trPr>
          <w:trHeight w:val="2124"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4. Условия оплаты и поставки товара</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4.1. Платеж за продукцию, поставляемую в счет настоящего контракта, должен производиться в </w:t>
            </w:r>
            <w:r>
              <w:rPr>
                <w:rFonts w:eastAsia="Times New Roman" w:cs="Times New Roman"/>
                <w:sz w:val="24"/>
                <w:szCs w:val="24"/>
              </w:rPr>
              <w:t>{{ currency.title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на валютный счет Продавца, указанный в п.11 настоящего контракта, путем банковского перевода на основании инвойса, направленного Продавцом в адрес Покупателя в порядке и срок, установленных в спецификациях.</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4.2. Датой оплаты считается дата поступления денежных средств на расчетный счет Продавца.</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4.3. Приемка товара по качеству осуществляется в течение 20 календарных дней с момента поступления товара на склад «Покупателя».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4.4. В случае расторжения контракта Покупателем или необоснованного отказа от получения продукции, последний </w:t>
            </w:r>
            <w:r>
              <w:rPr>
                <w:rFonts w:eastAsia="Times New Roman" w:cs="Times New Roman"/>
                <w:sz w:val="24"/>
                <w:szCs w:val="24"/>
              </w:rPr>
              <w:t>уплачивает</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Продавцу все понесённые им убытки, связанные с производством и поставкой невостребованного товара в полном размере.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 xml:space="preserve">4. Payment conditions and supply  </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4.1. Payment for the products to be supplied under this contract shall be made in </w:t>
            </w:r>
            <w:r>
              <w:rPr>
                <w:rFonts w:eastAsia="Times New Roman" w:cs="Times New Roman"/>
                <w:sz w:val="24"/>
                <w:szCs w:val="24"/>
              </w:rPr>
              <w:t>{{ currency.char_code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to the bank account of the Seller which bank details are specified in paragraph 11 of this contract, by bank transfer on the basis of invoice sent by the Seller to the Buyer in the order and timing according to specification.</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4.2.  The date of payment is the date when the payment enters to Seller’s bank account.</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4.3. Quality control of the goods is carried out within 20 calendar days since the moment of goods arrival to the Buyer’s warehouse. </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4.4.  In the event of termination of contract by the Buyer or rejection of products, the latest shall pay to the Seller all incurred losses relevant to the production and delivery of unclaimed products to the full.</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1241" w:hRule="atLeast"/>
        </w:trPr>
        <w:tc>
          <w:tcPr>
            <w:tcW w:w="5433" w:type="dxa"/>
            <w:tcBorders/>
          </w:tcPr>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5. Гарантии</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tru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5.1. Качество отгружаемого товара должно соответствовать качеству на данный вид товара.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 Гарантийный срок на поставляемый товар указан в руководстве на эксплуатацию, начинает исчисляться с момента таможенного оформления на поставленную продукцию на территории Покупателя, но не более 12 месяцев со дня отгрузки.</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Гарантии качества распространяются только на Товар в случае, если Покупателем не нарушены соответствующие нормы, при его обслуживании, изложенные в руководстве на эксплуатацию.</w:t>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5. Guarantees</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5.1.  The quality of shipped products must comply with technical specifications for these products.</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 The warranty period for the delivered equipment is specified in the maintenance manual/passport and will come into effect from the moment of customs clearance of products delivered to the Buyer's premises, but not more than 12 months from the date of shipment.</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The warranty of product quality applies only to the Goods if the Buyer does not violate any applicable standards which are stated in the maintenance manual.</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80" w:hRule="atLeast"/>
        </w:trPr>
        <w:tc>
          <w:tcPr>
            <w:tcW w:w="5433" w:type="dxa"/>
            <w:tcBorders/>
          </w:tcPr>
          <w:p>
            <w:pPr>
              <w:pStyle w:val="Normal"/>
              <w:keepNext w:val="false"/>
              <w:keepLines w:val="false"/>
              <w:widowControl w:val="false"/>
              <w:numPr>
                <w:ilvl w:val="0"/>
                <w:numId w:val="1"/>
              </w:numPr>
              <w:shd w:val="clear" w:fill="auto"/>
              <w:tabs>
                <w:tab w:val="clear" w:pos="709"/>
                <w:tab w:val="left" w:pos="0" w:leader="none"/>
                <w:tab w:val="left" w:pos="360" w:leader="none"/>
                <w:tab w:val="left" w:pos="720" w:leader="none"/>
              </w:tabs>
              <w:spacing w:lineRule="auto" w:line="240" w:before="0" w:after="0"/>
              <w:ind w:left="360" w:right="0" w:hanging="36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Права и обязанности Сторон, передача риска и права собственности</w:t>
            </w:r>
          </w:p>
          <w:p>
            <w:pPr>
              <w:pStyle w:val="Normal"/>
              <w:keepNext w:val="false"/>
              <w:keepLines w:val="false"/>
              <w:widowControl w:val="false"/>
              <w:shd w:val="clear" w:fill="auto"/>
              <w:tabs>
                <w:tab w:val="clear" w:pos="709"/>
                <w:tab w:val="left" w:pos="0" w:leader="none"/>
                <w:tab w:val="left" w:pos="720" w:leader="none"/>
              </w:tabs>
              <w:spacing w:lineRule="auto" w:line="240" w:before="0" w:after="0"/>
              <w:ind w:left="36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numPr>
                <w:ilvl w:val="1"/>
                <w:numId w:val="1"/>
              </w:numPr>
              <w:shd w:val="clear" w:fill="auto"/>
              <w:tabs>
                <w:tab w:val="clear" w:pos="709"/>
                <w:tab w:val="left" w:pos="0" w:leader="none"/>
              </w:tabs>
              <w:spacing w:lineRule="auto" w:line="240" w:before="0" w:after="0"/>
              <w:ind w:left="360" w:right="0" w:hanging="36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Поставщик обязан:</w:t>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t>5.1.1. Поставить Товар Покупателю на условиях и в срок, указанные в согласованной сторонами спецификации.</w:t>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5.1.2. обеспечить соответствующую упаковку Товаров за свой счет;</w:t>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t>5.1.3. предоставить Покупателю вместе с Товаром следующие документы: коммерческий инвойс, упаковочный лист.</w:t>
            </w:r>
          </w:p>
          <w:p>
            <w:pPr>
              <w:pStyle w:val="Normal"/>
              <w:keepNext w:val="false"/>
              <w:keepLines w:val="false"/>
              <w:widowControl w:val="false"/>
              <w:numPr>
                <w:ilvl w:val="1"/>
                <w:numId w:val="1"/>
              </w:numP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Покупатель обязан:</w:t>
            </w:r>
          </w:p>
          <w:p>
            <w:pPr>
              <w:pStyle w:val="Normal"/>
              <w:widowControl w:val="false"/>
              <w:spacing w:lineRule="auto" w:line="240" w:before="0" w:after="0"/>
              <w:ind w:left="22" w:right="600" w:hanging="0"/>
              <w:jc w:val="both"/>
              <w:rPr>
                <w:rFonts w:ascii="Times New Roman" w:hAnsi="Times New Roman" w:eastAsia="Times New Roman" w:cs="Times New Roman"/>
                <w:sz w:val="24"/>
                <w:szCs w:val="24"/>
              </w:rPr>
            </w:pPr>
            <w:r>
              <w:rPr>
                <w:rFonts w:eastAsia="Times New Roman" w:cs="Times New Roman"/>
                <w:sz w:val="24"/>
                <w:szCs w:val="24"/>
              </w:rPr>
              <w:t>5.2.1. Принять Товар в месте и в срок, указанные в Спецификации, которая является неотъемлемой частью Договора;</w:t>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5.2.2. Оплатить Товары в соответствии с условиями, изложенными в Спецификациях к настоящему Договору.</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Право собственности на Товары и риск утраты/повреждения передаются Покупателю в момент передачи товаров Покупателю на условиях поставки согласованных в спецификациях.</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w:t>
              <w:tab/>
            </w: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Rights and obligations of the Parties, transfer of risk and title</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w:t>
              <w:tab/>
              <w:t>The Supplier shall:</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5.1.1. Deliver Goods on the conditions and within the period indicated in the specification agreed between the parties.</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5.1.2. Provide proper packaging for the Goods at its own expense;</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5.1.3. Provide the Buyer with the following documents together with the Goods: commercial invoice, packing list.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w:t>
              <w:tab/>
              <w:t>The Buyer shall:</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5.2.1. Accept the Goods at the place and within terms indicated in the Specification that is an integral part of the Contract;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5.2.2. Pay for the Goods in accordance with terms specified Specification to the present Contract.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w:t>
              <w:tab/>
              <w:t xml:space="preserve">Title to the Goods and risk of loss/damage shall be transferred to the Buyer at the time delivery of the Goods by terms of deliver indicated in Specifications. </w:t>
            </w:r>
          </w:p>
        </w:tc>
      </w:tr>
      <w:tr>
        <w:trPr>
          <w:trHeight w:val="193"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7. Ответственность сторон</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7.1. В случае нарушения Продавцом сроков отгрузки, предусмотренных настоящим контрактом, Покупатель вправе взыскать с Продавца  штраф в размере 0,01 (одна сотая) % от общей суммы контракта за каждый день просрочки, но не более 3% от суммы Спецификации  к контракту. За первые две недели просрочки штраф не начисляется.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7.2. За просрочку оплаты поставляемого товара, Продавец вправе взыскать с Покупателя штраф в размере 0,01 (дна сотая) % от суммы задолженности за каждый день просрочки, но не более 3% от суммы Спецификации  к контракту. За первые две недели просрочки штраф не начисляется.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7.3. Ответственность Сторон в иных случаях определяется в соответствии с действующим законодательством Российской Федерации.</w:t>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7. Liability</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7.1.  In the case of Seller break the terms of shipment that are stipulated in this contract, The Buyer has the right to collect a fine from the Seller   in the amount of 0,01 (one hundredth) % </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of the total contract sum for each day of delay, but not more than 3% of the specifications of the contract. For the first 2 weeks of delay fine there is not.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7.2.  For delay in payment for the Seller has the right to charge the Buyer a fine in the amount of  0,01 (one hundredth) % of the delayed amount for each day of delay,  but not more than 3% of the specifications of the contract. For the first 2 weeks of delay fine there is not.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7.3. Responsibilities of the Parties in other cases are determined in accordance with the operating legislation of the Russian Federation.</w:t>
            </w:r>
          </w:p>
        </w:tc>
      </w:tr>
      <w:tr>
        <w:trPr>
          <w:trHeight w:val="193"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8. Форс-мажор</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8.1. Стороны освобождаются от ответственности за частичное или полное неисполнение обязательств по настоящему контракту, если оно явилось следствием непреодолимой силы (форс-мажор), а именно: пожара, вирусов, наводнения, землетрясения, вооруженной агрессии, военных действий, актов терроризма или всеобщей военной мобилизации, делающих невозможным выполнение Сторонами принятых на себя обязательств, и если эти обстоятельства непосредственно повлияли на неисполнение настоящего контракта. При этом срок исполнения Сторонами их обязательств продлевается на период, в течение которого действовали эти обстоятельства.</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8.2. Сторона, для которой создалась невозможность исполнения обязательств по контракту, немедленно извещает другую Сторону о наступлении и прекращении обстоятельств форс-мажор  причем уведомление о наличии и продолжительности обстоятельств форс-мажор должно быть подтверждено соответствующей Торговой Палатой страны Продавца/Покупателя.</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8.3. Если указанные обстоятельства будут длиться более трех месяцев, то каждая из сторон будет вправе аннулировать контракт полностью или частично, и в этом случае ни одна из Сторон не будет иметь права потребовать от другой Стороны возмещения убытков.   </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8. Force majeure</w:t>
            </w:r>
          </w:p>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8.1. Parties are not liable for the partial or full default of obligations under this contract, if it was caused by force majeure, namely: fire, viruses, floods, earthquakes, armed aggression, hostilities, acts of terrorism or the general military mobilization, which make it impossible for the Parties to fulfil their obligations, and if these circumstances directly caused failure of this contract. In these cases, the period for the Parties to fulfil their obligations extends for a period during which these circumstances are met.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8.2. The Party that fails to perform its obligations under the contract shall immediately notify the other Party of the commencement and cessation of force majeure, the notification of the availability and duration of force majeure must be confirmed by the relevant Chamber of Commerce of the Seller/ Buyer.</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8.3. If these conditions last more than three months, each party will be entitled to terminate the contract in whole or in part, in which case neither Party shall have the right to demand from the other Party to reimburse for loss.</w:t>
            </w:r>
          </w:p>
        </w:tc>
      </w:tr>
      <w:tr>
        <w:trPr>
          <w:trHeight w:val="193"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9. Арбитраж</w:t>
            </w:r>
          </w:p>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9.1. Все споры и разногласия, возникающие между Сторонами в процессе исполнения настоящего контракта, решаются путем </w:t>
            </w:r>
            <w:r>
              <w:rPr>
                <w:rFonts w:eastAsia="Times New Roman" w:cs="Times New Roman"/>
                <w:sz w:val="24"/>
                <w:szCs w:val="24"/>
              </w:rPr>
              <w:t>двусторонних</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переговоров.</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9.2. В случае, если невозможно прийти к согласию путем переговоров, споры в качестве крайней меры окончательно разрешаются Международным Коммерческим Арбитражным судом при Торговой промышленной палате Российской Федерации, в соответствии с его Регламентом и по праву России, на русском языке.</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9.3. Взаимоотношения Сторон, не предусмотренные настоящим контрактом, регулируются действующим законодательством Российской Федерации, а также межправительственными соглашениями.</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9.4 Расходы по арбитражу несет проигравшая сторона.</w:t>
            </w:r>
          </w:p>
          <w:p>
            <w:pPr>
              <w:pStyle w:val="Normal"/>
              <w:widowControl w:val="false"/>
              <w:spacing w:lineRule="auto" w:line="240" w:before="0" w:after="200"/>
              <w:rPr>
                <w:rFonts w:ascii="Times New Roman" w:hAnsi="Times New Roman" w:eastAsia="Times New Roman" w:cs="Times New Roman"/>
                <w:sz w:val="24"/>
                <w:szCs w:val="24"/>
              </w:rPr>
            </w:pPr>
            <w:r>
              <w:rPr>
                <w:rFonts w:eastAsia="Times New Roman" w:cs="Times New Roman"/>
                <w:sz w:val="24"/>
                <w:szCs w:val="24"/>
              </w:rPr>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9. Arbitration</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9.1. All disputes and differences arising between the Parties during the execution of this contract shall be settled through bilateral negotiations.</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9.2. If it is impossible to reach agreement by negotiation, dispute resolution as a last resort, be finally settled by the International Commercial Arbitration Court at the Commerce and Industry Chamber of the Russian Federation in accordance with its rules and law of Russia in Russian language.</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9.3. Relationship of the Parties not covered by this contract shall be governed by the operating legislation of the Russian Federation and intergovernmental agreements.</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9.4 The cost of arbitrations will be paid by non-prevailing party.</w:t>
            </w:r>
          </w:p>
          <w:p>
            <w:pPr>
              <w:pStyle w:val="Normal"/>
              <w:widowControl w:val="false"/>
              <w:spacing w:lineRule="auto" w:line="240" w:before="0" w:after="200"/>
              <w:rPr>
                <w:rFonts w:ascii="Times New Roman" w:hAnsi="Times New Roman" w:eastAsia="Times New Roman" w:cs="Times New Roman"/>
                <w:sz w:val="24"/>
                <w:szCs w:val="24"/>
              </w:rPr>
            </w:pPr>
            <w:r>
              <w:rPr>
                <w:rFonts w:eastAsia="Times New Roman" w:cs="Times New Roman"/>
                <w:sz w:val="24"/>
                <w:szCs w:val="24"/>
              </w:rPr>
            </w:r>
          </w:p>
        </w:tc>
      </w:tr>
      <w:tr>
        <w:trPr>
          <w:trHeight w:val="193" w:hRule="atLeast"/>
        </w:trPr>
        <w:tc>
          <w:tcPr>
            <w:tcW w:w="5433" w:type="dxa"/>
            <w:tcBorders/>
          </w:tcPr>
          <w:p>
            <w:pPr>
              <w:pStyle w:val="Normal"/>
              <w:keepNext w:val="false"/>
              <w:keepLines w:val="false"/>
              <w:widowControl w:val="false"/>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10. Общие условия</w:t>
            </w:r>
          </w:p>
          <w:p>
            <w:pPr>
              <w:pStyle w:val="Normal"/>
              <w:keepNext w:val="false"/>
              <w:keepLines w:val="false"/>
              <w:widowControl w:val="false"/>
              <w:shd w:val="clear" w:fill="auto"/>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10.1. С момента подписания настоящего контракта все предыдущие переговоры и переписка по нему теряют силу.</w:t>
            </w:r>
          </w:p>
          <w:p>
            <w:pPr>
              <w:pStyle w:val="Normal"/>
              <w:keepNext w:val="false"/>
              <w:keepLines w:val="false"/>
              <w:widowControl w:val="false"/>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10.2. Все дополнения и изменения к настоящему контракту действительны лишь в том случае, если они совершены в письменной форме и подписаны уполномоченными на то представителями Сторон.</w:t>
            </w:r>
          </w:p>
          <w:p>
            <w:pPr>
              <w:pStyle w:val="Normal"/>
              <w:keepNext w:val="false"/>
              <w:keepLines w:val="false"/>
              <w:widowControl w:val="false"/>
              <w:shd w:val="clear" w:fill="auto"/>
              <w:tabs>
                <w:tab w:val="left" w:pos="709" w:leader="none"/>
                <w:tab w:val="left" w:pos="11292" w:leader="none"/>
              </w:tabs>
              <w:spacing w:lineRule="auto" w:line="240" w:before="0" w:after="0"/>
              <w:ind w:left="0"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10.3. Правом настоящего контракта является право России.</w:t>
            </w:r>
          </w:p>
          <w:p>
            <w:pPr>
              <w:pStyle w:val="Normal"/>
              <w:keepNext w:val="false"/>
              <w:keepLines w:val="false"/>
              <w:widowControl w:val="false"/>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10.4. Стороны обязуются соблюдать условия конфиденциальности и не разглашать информацию, являющуюся коммерческим интересом другой стороны.                                                                    10.5. Ни одна из Сторон не вправе передавать полностью или частично свои права и обязательства по настоящему контракту третьим лицам без письменного согласия на то другой Стороны.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10.6. Настоящий контракт составлен в двух экземплярах, на английском и русском языках и имеет одинаковую юридическую силу для обеих Сторон. При интерпретации настоящего контракта текст на обоих языках является превалирующим.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10.7. В целях оперативного обмена документами Стороны договорились о возможности использовать в качестве официальных, имеющих юридическую силу документы, переданные посредством факсимильной связи, с последующим обменом оригиналами этих документов в течение 30(тридцати) календарных дней посредством почтового отправления.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10.8. Настоящий контракт вступает в силу с момента его подписания и действует до момента исполнения сторонами принятых на себя обязательств по настоящему контракту, но не позднее 31.12.{{ created_year }}. Истечение срока контракта не освобождает стороны от исполнения своих обязательств. Контракт считается автоматически продленным по окончании его срока на тот же срок и на тех же условиях, если до окончания его срока за один месяц ни одна из сторон не заявит о своем отказе от продления Контракта.</w:t>
            </w:r>
          </w:p>
          <w:p>
            <w:pPr>
              <w:pStyle w:val="Normal"/>
              <w:widowControl w:val="false"/>
              <w:spacing w:lineRule="auto" w:line="240" w:before="0" w:after="200"/>
              <w:jc w:val="both"/>
              <w:rPr>
                <w:rFonts w:ascii="Times New Roman" w:hAnsi="Times New Roman" w:eastAsia="Times New Roman" w:cs="Times New Roman"/>
                <w:sz w:val="24"/>
                <w:szCs w:val="24"/>
              </w:rPr>
            </w:pPr>
            <w:r>
              <w:rPr>
                <w:rFonts w:eastAsia="Times New Roman" w:cs="Times New Roman"/>
                <w:sz w:val="24"/>
                <w:szCs w:val="24"/>
              </w:rPr>
              <w:t xml:space="preserve">10.9. Все приложения и дополнения к настоящему контракту являются его неотъемлемой частью. Все изменения и дополнения к настоящему контракту действительны лишь в том случае, если они совершены в письменной форме и подписаны обеими сторонами. </w:t>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10. General terms and conditions</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10.1. Since the moment of the signing of this contract all prior negotiations and correspondence become void.</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10.2. All additions and changes to this contract shall be effective only if they are set forth in writing and signed by authorized representatives of the Parties.</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10.3. The law of this contract is the law of Russia.</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10.4. The Parties are obliged to abide by the terms of confidentiality and not to disclose information which is a commercial interest of another party.</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10.5. Neither Party is entitled to transfer all or part of its rights and obligations under this contract to third parties without a written consent of the other Party.</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10.6. This contract is made in two copies in English and Russian languages and has the same legal force for both Parties. In the interpretation of this contract the text in both languages is prevalent.</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10.7. In order to prompt exchange, the Parties agreed on the possibility of use as a formal, legally binding documents transmitted by facsimile, with the subsequent exchange of the originals of these documents within 30 (thirty) days through the postal item.</w:t>
            </w:r>
          </w:p>
          <w:p>
            <w:pPr>
              <w:pStyle w:val="Normal"/>
              <w:keepNext w:val="false"/>
              <w:keepLines w:val="false"/>
              <w:widowControl w:val="false"/>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10.8. This contract shall enter into force upon its signing and shall remain valid until the parties fulfil the obligations stipulated in this contract, but no later than 31.12.</w:t>
            </w:r>
            <w:r>
              <w:rPr>
                <w:rFonts w:eastAsia="Times New Roman" w:cs="Times New Roman"/>
                <w:sz w:val="24"/>
                <w:szCs w:val="24"/>
              </w:rPr>
              <w:t>{{ created_year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The expiration of the contract does not relieve the Parties from their obligations. The contract is considered to be automatically extended at the end of its term for the same period and under the same conditions, if before the end of its term for one month, neither of the parties declares its refusal to extend the Contract.</w:t>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10.9. All applications and additions to the present contract are its integral part. All changes and additions to this Contract are valid only if they are made in writing and signed by both parties.</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tc>
      </w:tr>
      <w:tr>
        <w:trPr>
          <w:trHeight w:val="634" w:hRule="atLeast"/>
        </w:trPr>
        <w:tc>
          <w:tcPr>
            <w:tcW w:w="5433" w:type="dxa"/>
            <w:tcBorders/>
          </w:tcPr>
          <w:p>
            <w:pPr>
              <w:pStyle w:val="Normal"/>
              <w:widowControl w:val="false"/>
              <w:spacing w:lineRule="auto" w:line="240" w:before="0" w:after="200"/>
              <w:jc w:val="center"/>
              <w:rPr>
                <w:rFonts w:ascii="Times New Roman" w:hAnsi="Times New Roman" w:eastAsia="Times New Roman" w:cs="Times New Roman"/>
                <w:b/>
                <w:b/>
                <w:i/>
                <w:i/>
                <w:sz w:val="24"/>
                <w:szCs w:val="24"/>
              </w:rPr>
            </w:pPr>
            <w:r>
              <w:rPr>
                <w:rFonts w:eastAsia="Times New Roman" w:cs="Times New Roman"/>
                <w:b/>
                <w:sz w:val="24"/>
                <w:szCs w:val="24"/>
              </w:rPr>
              <w:t>11. Адреса, реквизиты Сторон</w:t>
            </w:r>
          </w:p>
        </w:tc>
        <w:tc>
          <w:tcPr>
            <w:tcW w:w="5220" w:type="dxa"/>
            <w:tcBorders/>
          </w:tcPr>
          <w:p>
            <w:pPr>
              <w:pStyle w:val="Normal"/>
              <w:keepNext w:val="false"/>
              <w:keepLines w:val="false"/>
              <w:widowControl w:val="false"/>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11. Addresses and details of the Parties</w:t>
            </w:r>
          </w:p>
        </w:tc>
      </w:tr>
      <w:tr>
        <w:trPr>
          <w:trHeight w:val="390" w:hRule="atLeast"/>
        </w:trPr>
        <w:tc>
          <w:tcPr>
            <w:tcW w:w="5433"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ПРОДАВЕЦ:</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 organization.title }}</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 organization.legal_address }}</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ИНН:{{ organization.tin }}</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ОГРН(ИП):{{ organization.pprnie }}</w:t>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БАНКОВСКИЕ РЕКВИЗИТЫ:</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 organization.requisites }}</w:t>
            </w:r>
          </w:p>
          <w:p>
            <w:pPr>
              <w:pStyle w:val="Normal"/>
              <w:keepNext w:val="false"/>
              <w:keepLines w:val="false"/>
              <w:widowControl w:val="false"/>
              <w:shd w:val="clear" w:fill="auto"/>
              <w:tabs>
                <w:tab w:val="clear" w:pos="709"/>
                <w:tab w:val="left" w:pos="0" w:leader="none"/>
              </w:tabs>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 xml:space="preserve"> </w:t>
            </w:r>
            <w:r>
              <w:rPr>
                <w:rFonts w:eastAsia="Times New Roman" w:cs="Times New Roman"/>
                <w:sz w:val="24"/>
                <w:szCs w:val="24"/>
              </w:rPr>
              <w:t xml:space="preserve">______________   </w:t>
            </w:r>
            <w:r>
              <w:rPr>
                <w:rFonts w:eastAsia="Times New Roman" w:cs="Times New Roman"/>
                <w:b/>
                <w:bCs/>
                <w:sz w:val="24"/>
                <w:szCs w:val="24"/>
              </w:rPr>
              <w:t>{{ organization.last_name }}  {{ organization.</w:t>
            </w:r>
            <w:r>
              <w:rPr>
                <w:rFonts w:eastAsia="Times New Roman" w:cs="Times New Roman"/>
                <w:b/>
                <w:bCs/>
                <w:color w:val="auto"/>
                <w:kern w:val="0"/>
                <w:sz w:val="24"/>
                <w:szCs w:val="24"/>
                <w:lang w:val="en-GB" w:eastAsia="ar-SA" w:bidi="hi-IN"/>
              </w:rPr>
              <w:t>initials</w:t>
            </w:r>
            <w:r>
              <w:rPr>
                <w:rFonts w:eastAsia="Times New Roman" w:cs="Times New Roman"/>
                <w:b/>
                <w:bCs/>
                <w:sz w:val="24"/>
                <w:szCs w:val="24"/>
              </w:rPr>
              <w:t xml:space="preserve"> }}  </w:t>
            </w:r>
          </w:p>
          <w:p>
            <w:pPr>
              <w:pStyle w:val="Normal"/>
              <w:keepNext w:val="false"/>
              <w:keepLines w:val="false"/>
              <w:widowControl w:val="false"/>
              <w:shd w:val="clear" w:fill="auto"/>
              <w:tabs>
                <w:tab w:val="clear" w:pos="709"/>
                <w:tab w:val="left" w:pos="0" w:leader="none"/>
                <w:tab w:val="left" w:pos="1050" w:leader="none"/>
              </w:tabs>
              <w:spacing w:lineRule="auto" w:line="240" w:before="0" w:after="0"/>
              <w:ind w:left="36" w:right="0" w:hanging="0"/>
              <w:jc w:val="both"/>
              <w:rPr>
                <w:rFonts w:eastAsia="Times New Roman" w:cs="Times New Roman"/>
                <w:b/>
                <w:b/>
                <w:bCs/>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bCs/>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bCs/>
                <w:i w:val="false"/>
                <w:caps w:val="false"/>
                <w:smallCaps w:val="false"/>
                <w:strike w:val="false"/>
                <w:dstrike w:val="false"/>
                <w:color w:val="000000"/>
                <w:position w:val="0"/>
                <w:sz w:val="24"/>
                <w:sz w:val="24"/>
                <w:szCs w:val="24"/>
                <w:u w:val="none"/>
                <w:shd w:fill="auto" w:val="clear"/>
                <w:vertAlign w:val="baseline"/>
              </w:rPr>
              <w:tab/>
            </w:r>
          </w:p>
        </w:tc>
        <w:tc>
          <w:tcPr>
            <w:tcW w:w="5220"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THE SELLERS:</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organization.title_en }}</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 organization.legal_address_en }}</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Individual Taxpayer Number: {{ organization.tin }}</w:t>
            </w:r>
          </w:p>
          <w:p>
            <w:pPr>
              <w:pStyle w:val="Normal"/>
              <w:keepNext w:val="false"/>
              <w:keepLines w:val="false"/>
              <w:widowControl w:val="false"/>
              <w:shd w:val="clear" w:fill="auto"/>
              <w:spacing w:lineRule="auto" w:line="240" w:before="0" w:after="0"/>
              <w:ind w:left="0" w:right="0" w:hanging="0"/>
              <w:jc w:val="left"/>
              <w:rPr>
                <w:rFonts w:eastAsia="Times New Roman" w:cs="Times New Roman"/>
                <w:b w:val="false"/>
                <w:b w:val="false"/>
                <w:bCs w:val="false"/>
                <w:sz w:val="24"/>
                <w:szCs w:val="24"/>
              </w:rPr>
            </w:pPr>
            <w:r>
              <w:rPr>
                <w:rFonts w:eastAsia="Times New Roman" w:cs="Times New Roman"/>
                <w:b w:val="false"/>
                <w:bCs w:val="false"/>
                <w:sz w:val="24"/>
                <w:szCs w:val="24"/>
              </w:rPr>
              <w:t>PSRN: {{ organization.pprnie }}</w:t>
            </w:r>
          </w:p>
          <w:p>
            <w:pPr>
              <w:pStyle w:val="Normal"/>
              <w:widowControl w:val="false"/>
              <w:spacing w:lineRule="auto" w:line="240" w:before="0" w:after="0"/>
              <w:rPr>
                <w:rFonts w:ascii="Times New Roman" w:hAnsi="Times New Roman" w:eastAsia="Times New Roman" w:cs="Times New Roman"/>
                <w:b w:val="false"/>
                <w:b w:val="false"/>
                <w:bCs w:val="false"/>
                <w:sz w:val="24"/>
                <w:szCs w:val="24"/>
              </w:rPr>
            </w:pPr>
            <w:r>
              <w:rPr>
                <w:rFonts w:eastAsia="Times New Roman" w:cs="Times New Roman"/>
                <w:b w:val="false"/>
                <w:bCs w:val="false"/>
                <w:sz w:val="24"/>
                <w:szCs w:val="24"/>
              </w:rPr>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BANK DETAILS:</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organization.requisites_en }}</w:t>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widowControl w:val="false"/>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 xml:space="preserve">____________   </w:t>
            </w:r>
            <w:r>
              <w:rPr>
                <w:rFonts w:eastAsia="Times New Roman" w:cs="Times New Roman"/>
                <w:b/>
                <w:bCs/>
                <w:sz w:val="24"/>
                <w:szCs w:val="24"/>
              </w:rPr>
              <w:t>{{ organization.appeal_en }} / {{ organization.name_en }} {{ organization.second_name_en }} {{ organization.last_name_en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u w:val="single"/>
              </w:rPr>
            </w:pPr>
            <w:r>
              <w:rPr>
                <w:rFonts w:eastAsia="Times New Roman" w:cs="Times New Roman"/>
                <w:sz w:val="24"/>
                <w:szCs w:val="24"/>
              </w:rPr>
              <w:t xml:space="preserve">             </w:t>
            </w:r>
          </w:p>
        </w:tc>
      </w:tr>
      <w:tr>
        <w:trPr>
          <w:trHeight w:val="390" w:hRule="atLeast"/>
        </w:trPr>
        <w:tc>
          <w:tcPr>
            <w:tcW w:w="5433"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ПОКУПАТЕЛЬ:</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client.title }}</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Юридический Адрес: {{ client.legal_address }}</w:t>
            </w:r>
            <w:r>
              <w:rPr>
                <w:rFonts w:eastAsia="Times New Roman" w:cs="Times New Roman"/>
                <w:b w:val="false"/>
                <w:bCs w:val="false"/>
                <w:sz w:val="24"/>
                <w:szCs w:val="24"/>
              </w:rPr>
              <w:t xml:space="preserve">, </w:t>
            </w:r>
            <w:r>
              <w:rPr>
                <w:rFonts w:eastAsia="Times New Roman" w:cs="Times New Roman"/>
                <w:b w:val="false"/>
                <w:bCs w:val="false"/>
                <w:sz w:val="24"/>
                <w:szCs w:val="24"/>
              </w:rPr>
              <w:t>{{ client.country }}</w:t>
            </w:r>
          </w:p>
          <w:p>
            <w:pPr>
              <w:pStyle w:val="Normal"/>
              <w:widowControl w:val="false"/>
              <w:spacing w:lineRule="auto" w:line="240" w:before="0" w:after="0"/>
              <w:rPr>
                <w:rFonts w:ascii="Times New Roman" w:hAnsi="Times New Roman" w:eastAsia="Times New Roman" w:cs="Times New Roman"/>
                <w:b w:val="false"/>
                <w:b w:val="false"/>
                <w:bCs w:val="false"/>
                <w:sz w:val="24"/>
                <w:szCs w:val="24"/>
              </w:rPr>
            </w:pPr>
            <w:r>
              <w:rPr>
                <w:rFonts w:eastAsia="Times New Roman" w:cs="Times New Roman"/>
                <w:b w:val="false"/>
                <w:bCs w:val="false"/>
                <w:sz w:val="24"/>
                <w:szCs w:val="24"/>
              </w:rPr>
            </w:r>
          </w:p>
          <w:p>
            <w:pPr>
              <w:pStyle w:val="Normal"/>
              <w:widowControl w:val="false"/>
              <w:spacing w:lineRule="auto" w:line="240" w:before="0" w:after="0"/>
              <w:rPr>
                <w:rFonts w:eastAsia="Times New Roman" w:cs="Times New Roman"/>
                <w:b w:val="false"/>
                <w:b w:val="false"/>
                <w:bCs w:val="false"/>
                <w:sz w:val="24"/>
                <w:szCs w:val="24"/>
                <w:highlight w:val="yellow"/>
              </w:rPr>
            </w:pPr>
            <w:r>
              <w:rPr>
                <w:rFonts w:eastAsia="Times New Roman" w:cs="Times New Roman"/>
                <w:b w:val="false"/>
                <w:bCs w:val="false"/>
                <w:sz w:val="24"/>
                <w:szCs w:val="24"/>
                <w:highlight w:val="yellow"/>
              </w:rPr>
              <w:t xml:space="preserve">       </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БАНКОВСКИЕ РЕКВИЗИТЫ:</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client.requisites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______________________ {{ client.appeal_en }}/ {{ client.initials }} {{ client.last_name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tc>
        <w:tc>
          <w:tcPr>
            <w:tcW w:w="5220"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THE BUYERS:</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client.title }}</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Address: {{ client.legal_address }}</w:t>
            </w:r>
            <w:r>
              <w:rPr>
                <w:rFonts w:eastAsia="Times New Roman" w:cs="Times New Roman"/>
                <w:b w:val="false"/>
                <w:bCs w:val="false"/>
                <w:sz w:val="24"/>
                <w:szCs w:val="24"/>
              </w:rPr>
              <w:t xml:space="preserve">, </w:t>
            </w:r>
            <w:r>
              <w:rPr>
                <w:rFonts w:eastAsia="Times New Roman" w:cs="Times New Roman"/>
                <w:b w:val="false"/>
                <w:bCs w:val="false"/>
                <w:sz w:val="24"/>
                <w:szCs w:val="24"/>
              </w:rPr>
              <w:t>{{ client.country }}</w:t>
            </w:r>
          </w:p>
          <w:p>
            <w:pPr>
              <w:pStyle w:val="Normal"/>
              <w:keepNext w:val="false"/>
              <w:keepLines w:val="false"/>
              <w:widowControl w:val="false"/>
              <w:shd w:val="clear" w:fill="auto"/>
              <w:tabs>
                <w:tab w:val="clear" w:pos="709"/>
                <w:tab w:val="left" w:pos="0" w:leader="none"/>
              </w:tabs>
              <w:spacing w:lineRule="auto" w:line="24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ascii="Times New Roman" w:hAnsi="Times New Roman" w:eastAsia="Times New Roman" w:cs="Times New Roman"/>
                <w:b w:val="false"/>
                <w:b w:val="false"/>
                <w:bCs w:val="false"/>
                <w:sz w:val="24"/>
                <w:szCs w:val="24"/>
              </w:rPr>
            </w:pPr>
            <w:r>
              <w:rPr>
                <w:rFonts w:eastAsia="Times New Roman" w:cs="Times New Roman"/>
                <w:b w:val="false"/>
                <w:bCs w:val="false"/>
                <w:sz w:val="24"/>
                <w:szCs w:val="24"/>
              </w:rPr>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BANK DETAILS:</w:t>
            </w:r>
          </w:p>
          <w:p>
            <w:pPr>
              <w:pStyle w:val="Normal"/>
              <w:widowControl w:val="false"/>
              <w:spacing w:lineRule="auto" w:line="240" w:before="0" w:after="0"/>
              <w:rPr>
                <w:rFonts w:eastAsia="Times New Roman" w:cs="Times New Roman"/>
                <w:b w:val="false"/>
                <w:b w:val="false"/>
                <w:bCs w:val="false"/>
                <w:sz w:val="24"/>
                <w:szCs w:val="24"/>
              </w:rPr>
            </w:pPr>
            <w:r>
              <w:rPr>
                <w:rFonts w:eastAsia="Times New Roman" w:cs="Times New Roman"/>
                <w:b w:val="false"/>
                <w:bCs w:val="false"/>
                <w:sz w:val="24"/>
                <w:szCs w:val="24"/>
              </w:rPr>
              <w:t xml:space="preserve"> </w:t>
            </w:r>
            <w:r>
              <w:rPr>
                <w:rFonts w:eastAsia="Times New Roman" w:cs="Times New Roman"/>
                <w:b w:val="false"/>
                <w:bCs w:val="false"/>
                <w:sz w:val="24"/>
                <w:szCs w:val="24"/>
              </w:rPr>
              <w:t>{{ client.requisites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______________________  {{ client.appeal_en }}/ {{ client.initials }} {{ client.last_name }}</w:t>
            </w:r>
          </w:p>
        </w:tc>
      </w:tr>
    </w:tbl>
    <w:p>
      <w:pPr>
        <w:pStyle w:val="Normal"/>
        <w:spacing w:lineRule="auto" w:line="240" w:before="0" w:after="200"/>
        <w:rPr/>
      </w:pPr>
      <w:r>
        <w:rPr/>
      </w:r>
    </w:p>
    <w:sectPr>
      <w:headerReference w:type="default" r:id="rId2"/>
      <w:type w:val="nextPage"/>
      <w:pgSz w:w="12240" w:h="15840"/>
      <w:pgMar w:left="720" w:right="540" w:header="720" w:top="777" w:footer="0" w:bottom="540"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Arial">
    <w:charset w:val="cc"/>
    <w:family w:val="roman"/>
    <w:pitch w:val="variable"/>
  </w:font>
  <w:font w:name="Segoe UI">
    <w:charset w:val="cc"/>
    <w:family w:val="roman"/>
    <w:pitch w:val="variable"/>
  </w:font>
  <w:font w:name="Liberation Sans">
    <w:altName w:val="Arial"/>
    <w:charset w:val="cc"/>
    <w:family w:val="roman"/>
    <w:pitch w:val="variable"/>
  </w:font>
  <w:font w:name="Georgia">
    <w:charset w:val="cc"/>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shd w:val="clear" w:fill="auto"/>
      <w:tabs>
        <w:tab w:val="clear" w:pos="709"/>
        <w:tab w:val="center" w:pos="4680" w:leader="none"/>
        <w:tab w:val="right" w:pos="9360" w:leader="none"/>
      </w:tabs>
      <w:spacing w:lineRule="auto" w:line="240" w:before="0" w:after="0"/>
      <w:ind w:left="0" w:right="0" w:hanging="0"/>
      <w:jc w:val="center"/>
      <w:rPr>
        <w:rFonts w:ascii="Calibri" w:hAnsi="Calibri" w:eastAsia="Calibri" w:cs="Calibri"/>
        <w:b w:val="false"/>
        <w:b w:val="false"/>
        <w:i w:val="false"/>
        <w:i w:val="false"/>
        <w:caps w:val="false"/>
        <w:smallCaps w:val="false"/>
        <w:strike w:val="false"/>
        <w:dstrike w:val="false"/>
        <w:color w:val="000000"/>
        <w:position w:val="0"/>
        <w:sz w:val="24"/>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Page </w:t>
    </w:r>
    <w:r>
      <w:rPr/>
      <w:fldChar w:fldCharType="begin"/>
    </w:r>
    <w:r>
      <w:rPr/>
      <w:instrText> PAGE </w:instrText>
    </w:r>
    <w:r>
      <w:rPr/>
      <w:fldChar w:fldCharType="separate"/>
    </w:r>
    <w:r>
      <w:rPr/>
      <w:t>4</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of </w:t>
    </w:r>
    <w:r>
      <w:rPr/>
      <w:fldChar w:fldCharType="begin"/>
    </w:r>
    <w:r>
      <w:rPr/>
      <w:instrText> NUMPAGES </w:instrText>
    </w:r>
    <w:r>
      <w:rPr/>
      <w:fldChar w:fldCharType="separate"/>
    </w:r>
    <w:r>
      <w:rPr/>
      <w:t>7</w:t>
    </w:r>
    <w:r>
      <w:rPr/>
      <w:fldChar w:fldCharType="end"/>
    </w:r>
  </w:p>
  <w:p>
    <w:pPr>
      <w:pStyle w:val="Normal"/>
      <w:keepNext w:val="false"/>
      <w:keepLines w:val="false"/>
      <w:widowControl/>
      <w:shd w:val="clear" w:fill="auto"/>
      <w:tabs>
        <w:tab w:val="clear" w:pos="709"/>
        <w:tab w:val="center" w:pos="4680" w:leader="none"/>
        <w:tab w:val="right" w:pos="9360" w:leader="none"/>
      </w:tabs>
      <w:spacing w:lineRule="auto" w:line="240" w:before="0" w:after="0"/>
      <w:ind w:left="0" w:right="0" w:hanging="0"/>
      <w:jc w:val="left"/>
      <w:rPr>
        <w:rFonts w:ascii="Calibri" w:hAnsi="Calibri" w:eastAsia="Calibri" w:cs="Calibri"/>
        <w:b w:val="false"/>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customStyle="1">
    <w:name w:val="Normal"/>
    <w:uiPriority w:val="99"/>
    <w:qFormat/>
    <w:rsid w:val="000d53b8"/>
    <w:pPr>
      <w:widowControl/>
      <w:tabs>
        <w:tab w:val="clear" w:pos="720"/>
        <w:tab w:val="left" w:pos="709" w:leader="none"/>
      </w:tabs>
      <w:suppressAutoHyphens w:val="true"/>
      <w:bidi w:val="0"/>
      <w:spacing w:lineRule="atLeast" w:line="100" w:before="0" w:after="200"/>
      <w:jc w:val="left"/>
    </w:pPr>
    <w:rPr>
      <w:rFonts w:ascii="Times New Roman" w:hAnsi="Times New Roman" w:eastAsia="Calibri" w:cs="Calibri"/>
      <w:color w:val="auto"/>
      <w:kern w:val="0"/>
      <w:sz w:val="24"/>
      <w:szCs w:val="24"/>
      <w:lang w:val="en-GB" w:eastAsia="ar-SA" w:bidi="hi-IN"/>
    </w:rPr>
  </w:style>
  <w:style w:type="paragraph" w:styleId="1">
    <w:name w:val="Heading 1"/>
    <w:basedOn w:val="LOnormal"/>
    <w:next w:val="LOnormal"/>
    <w:qFormat/>
    <w:pPr>
      <w:keepNext w:val="true"/>
      <w:keepLines/>
      <w:spacing w:lineRule="auto" w:line="240" w:before="480" w:after="120"/>
    </w:pPr>
    <w:rPr>
      <w:b/>
      <w:sz w:val="48"/>
      <w:szCs w:val="48"/>
    </w:rPr>
  </w:style>
  <w:style w:type="paragraph" w:styleId="2">
    <w:name w:val="Heading 2"/>
    <w:basedOn w:val="LOnormal"/>
    <w:next w:val="LOnormal"/>
    <w:qFormat/>
    <w:pPr>
      <w:keepNext w:val="true"/>
      <w:keepLines/>
      <w:spacing w:lineRule="auto" w:line="240" w:before="360" w:after="80"/>
    </w:pPr>
    <w:rPr>
      <w:b/>
      <w:sz w:val="36"/>
      <w:szCs w:val="36"/>
    </w:rPr>
  </w:style>
  <w:style w:type="paragraph" w:styleId="3">
    <w:name w:val="Heading 3"/>
    <w:basedOn w:val="LOnormal"/>
    <w:next w:val="LOnormal"/>
    <w:qFormat/>
    <w:pPr>
      <w:keepNext w:val="true"/>
      <w:keepLines/>
      <w:spacing w:lineRule="auto" w:line="240" w:before="280" w:after="80"/>
    </w:pPr>
    <w:rPr>
      <w:b/>
      <w:sz w:val="28"/>
      <w:szCs w:val="28"/>
    </w:rPr>
  </w:style>
  <w:style w:type="paragraph" w:styleId="4">
    <w:name w:val="Heading 4"/>
    <w:basedOn w:val="LOnormal"/>
    <w:next w:val="LOnormal"/>
    <w:qFormat/>
    <w:pPr>
      <w:keepNext w:val="true"/>
      <w:keepLines/>
      <w:spacing w:lineRule="auto" w:line="240" w:before="240" w:after="40"/>
    </w:pPr>
    <w:rPr>
      <w:b/>
      <w:sz w:val="24"/>
      <w:szCs w:val="24"/>
    </w:rPr>
  </w:style>
  <w:style w:type="paragraph" w:styleId="5">
    <w:name w:val="Heading 5"/>
    <w:basedOn w:val="LOnormal"/>
    <w:next w:val="LOnormal"/>
    <w:qFormat/>
    <w:pPr>
      <w:keepNext w:val="true"/>
      <w:keepLines/>
      <w:spacing w:lineRule="auto" w:line="240" w:before="220" w:after="40"/>
    </w:pPr>
    <w:rPr>
      <w:b/>
      <w:sz w:val="22"/>
      <w:szCs w:val="22"/>
    </w:rPr>
  </w:style>
  <w:style w:type="paragraph" w:styleId="6">
    <w:name w:val="Heading 6"/>
    <w:basedOn w:val="LOnormal"/>
    <w:next w:val="LOnormal"/>
    <w:qFormat/>
    <w:pPr>
      <w:keepNext w:val="true"/>
      <w:keepLines/>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link w:val="a3"/>
    <w:uiPriority w:val="99"/>
    <w:qFormat/>
    <w:locked/>
    <w:rsid w:val="00c37d34"/>
    <w:rPr>
      <w:rFonts w:cs="Times New Roman"/>
    </w:rPr>
  </w:style>
  <w:style w:type="character" w:styleId="Style9" w:customStyle="1">
    <w:name w:val="Нижний колонтитул Знак"/>
    <w:link w:val="a5"/>
    <w:uiPriority w:val="99"/>
    <w:semiHidden/>
    <w:qFormat/>
    <w:locked/>
    <w:rsid w:val="00c37d34"/>
    <w:rPr>
      <w:rFonts w:cs="Times New Roman"/>
    </w:rPr>
  </w:style>
  <w:style w:type="character" w:styleId="FooterChar1" w:customStyle="1">
    <w:name w:val="Footer Char1"/>
    <w:uiPriority w:val="99"/>
    <w:semiHidden/>
    <w:qFormat/>
    <w:locked/>
    <w:rsid w:val="00c37d34"/>
    <w:rPr/>
  </w:style>
  <w:style w:type="character" w:styleId="Il" w:customStyle="1">
    <w:name w:val="il"/>
    <w:uiPriority w:val="99"/>
    <w:qFormat/>
    <w:rsid w:val="00527e7a"/>
    <w:rPr/>
  </w:style>
  <w:style w:type="character" w:styleId="Style10">
    <w:name w:val="Интернет-ссылка"/>
    <w:uiPriority w:val="99"/>
    <w:rsid w:val="00f7511a"/>
    <w:rPr>
      <w:rFonts w:cs="Times New Roman"/>
      <w:color w:val="0000FF"/>
      <w:u w:val="single"/>
    </w:rPr>
  </w:style>
  <w:style w:type="character" w:styleId="BodyTextChar" w:customStyle="1">
    <w:name w:val="Body Text Char"/>
    <w:uiPriority w:val="99"/>
    <w:semiHidden/>
    <w:qFormat/>
    <w:locked/>
    <w:rsid w:val="00f127c2"/>
    <w:rPr>
      <w:rFonts w:cs="Times New Roman"/>
      <w:lang w:val="en-US" w:eastAsia="zh-CN"/>
    </w:rPr>
  </w:style>
  <w:style w:type="character" w:styleId="Style11" w:customStyle="1">
    <w:name w:val="Основной текст Знак"/>
    <w:link w:val="aa"/>
    <w:uiPriority w:val="99"/>
    <w:semiHidden/>
    <w:qFormat/>
    <w:locked/>
    <w:rsid w:val="0061666b"/>
    <w:rPr>
      <w:rFonts w:ascii="Arial" w:hAnsi="Arial"/>
      <w:sz w:val="24"/>
      <w:lang w:val="en-US" w:eastAsia="ar-SA" w:bidi="ar-SA"/>
    </w:rPr>
  </w:style>
  <w:style w:type="character" w:styleId="Bodytext2" w:customStyle="1">
    <w:name w:val="Body text (2)_"/>
    <w:link w:val="Bodytext20"/>
    <w:uiPriority w:val="99"/>
    <w:qFormat/>
    <w:locked/>
    <w:rsid w:val="0041137f"/>
    <w:rPr>
      <w:rFonts w:ascii="Arial" w:hAnsi="Arial"/>
      <w:shd w:fill="FFFFFF" w:val="clear"/>
    </w:rPr>
  </w:style>
  <w:style w:type="character" w:styleId="Annotationreference">
    <w:name w:val="annotation reference"/>
    <w:uiPriority w:val="99"/>
    <w:semiHidden/>
    <w:qFormat/>
    <w:rsid w:val="00765d76"/>
    <w:rPr>
      <w:rFonts w:cs="Times New Roman"/>
      <w:sz w:val="16"/>
      <w:szCs w:val="16"/>
    </w:rPr>
  </w:style>
  <w:style w:type="character" w:styleId="Style12" w:customStyle="1">
    <w:name w:val="Текст выноски Знак"/>
    <w:basedOn w:val="DefaultParagraphFont"/>
    <w:link w:val="ae"/>
    <w:uiPriority w:val="99"/>
    <w:semiHidden/>
    <w:qFormat/>
    <w:rsid w:val="00ae17c4"/>
    <w:rPr>
      <w:rFonts w:ascii="Segoe UI" w:hAnsi="Segoe UI" w:cs="Segoe UI"/>
      <w:sz w:val="18"/>
      <w:szCs w:val="18"/>
      <w:lang w:val="en-US" w:eastAsia="zh-CN"/>
    </w:rPr>
  </w:style>
  <w:style w:type="character" w:styleId="Style13" w:customStyle="1">
    <w:name w:val="Текст примечания Знак"/>
    <w:basedOn w:val="DefaultParagraphFont"/>
    <w:link w:val="af0"/>
    <w:uiPriority w:val="99"/>
    <w:semiHidden/>
    <w:qFormat/>
    <w:rsid w:val="0005412b"/>
    <w:rPr>
      <w:rFonts w:cs="Calibri"/>
      <w:lang w:val="en-US" w:eastAsia="zh-CN"/>
    </w:rPr>
  </w:style>
  <w:style w:type="character" w:styleId="Style14" w:customStyle="1">
    <w:name w:val="Тема примечания Знак"/>
    <w:basedOn w:val="Style13"/>
    <w:link w:val="af2"/>
    <w:uiPriority w:val="99"/>
    <w:semiHidden/>
    <w:qFormat/>
    <w:rsid w:val="0005412b"/>
    <w:rPr>
      <w:rFonts w:cs="Calibri"/>
      <w:b/>
      <w:bCs/>
      <w:lang w:val="en-US" w:eastAsia="zh-CN"/>
    </w:rPr>
  </w:style>
  <w:style w:type="paragraph" w:styleId="Style15">
    <w:name w:val="Заголовок"/>
    <w:basedOn w:val="Normal"/>
    <w:next w:val="Style16"/>
    <w:qFormat/>
    <w:pPr>
      <w:keepNext w:val="true"/>
      <w:spacing w:before="240" w:after="120"/>
    </w:pPr>
    <w:rPr>
      <w:rFonts w:ascii="Liberation Sans" w:hAnsi="Liberation Sans" w:eastAsia="Microsoft YaHei" w:cs="Lucida Sans"/>
      <w:sz w:val="28"/>
      <w:szCs w:val="28"/>
    </w:rPr>
  </w:style>
  <w:style w:type="paragraph" w:styleId="Style16">
    <w:name w:val="Body Text"/>
    <w:basedOn w:val="Normal"/>
    <w:link w:val="ab"/>
    <w:uiPriority w:val="99"/>
    <w:rsid w:val="0061666b"/>
    <w:pPr>
      <w:tabs>
        <w:tab w:val="left" w:pos="360" w:leader="none"/>
        <w:tab w:val="left" w:pos="709" w:leader="none"/>
      </w:tabs>
      <w:spacing w:before="60" w:after="60"/>
      <w:jc w:val="both"/>
    </w:pPr>
    <w:rPr>
      <w:rFonts w:ascii="Arial" w:hAnsi="Arial"/>
      <w:szCs w:val="20"/>
      <w:lang w:val="en-US"/>
    </w:rPr>
  </w:style>
  <w:style w:type="paragraph" w:styleId="Style17">
    <w:name w:val="List"/>
    <w:basedOn w:val="Style16"/>
    <w:pPr/>
    <w:rPr>
      <w:rFonts w:cs="Lucida Sans"/>
    </w:rPr>
  </w:style>
  <w:style w:type="paragraph" w:styleId="Style18">
    <w:name w:val="Caption"/>
    <w:basedOn w:val="Normal"/>
    <w:qFormat/>
    <w:pPr>
      <w:suppressLineNumbers/>
      <w:spacing w:before="120" w:after="120"/>
    </w:pPr>
    <w:rPr>
      <w:rFonts w:cs="Lucida Sans"/>
      <w:i/>
      <w:iCs/>
      <w:sz w:val="24"/>
      <w:szCs w:val="24"/>
    </w:rPr>
  </w:style>
  <w:style w:type="paragraph" w:styleId="Style19">
    <w:name w:val="Указатель"/>
    <w:basedOn w:val="Normal"/>
    <w:qFormat/>
    <w:pPr>
      <w:suppressLineNumbers/>
    </w:pPr>
    <w:rPr>
      <w:rFonts w:cs="Lucida Sans"/>
    </w:rPr>
  </w:style>
  <w:style w:type="paragraph" w:styleId="LOnormal" w:default="1">
    <w:name w:val="LO-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Style20">
    <w:name w:val="Title"/>
    <w:basedOn w:val="LOnormal"/>
    <w:next w:val="LOnormal"/>
    <w:qFormat/>
    <w:pPr>
      <w:keepNext w:val="true"/>
      <w:keepLines/>
      <w:spacing w:lineRule="auto" w:line="240" w:before="480" w:after="120"/>
    </w:pPr>
    <w:rPr>
      <w:b/>
      <w:sz w:val="72"/>
      <w:szCs w:val="72"/>
    </w:rPr>
  </w:style>
  <w:style w:type="paragraph" w:styleId="Style21">
    <w:name w:val="Верхний и нижний колонтитулы"/>
    <w:basedOn w:val="Normal"/>
    <w:qFormat/>
    <w:pPr/>
    <w:rPr/>
  </w:style>
  <w:style w:type="paragraph" w:styleId="Style22">
    <w:name w:val="Header"/>
    <w:basedOn w:val="Normal"/>
    <w:link w:val="a4"/>
    <w:uiPriority w:val="99"/>
    <w:rsid w:val="00c37d34"/>
    <w:pPr>
      <w:tabs>
        <w:tab w:val="clear" w:pos="709"/>
        <w:tab w:val="center" w:pos="4680" w:leader="none"/>
        <w:tab w:val="right" w:pos="9360" w:leader="none"/>
      </w:tabs>
      <w:spacing w:lineRule="auto" w:line="240" w:before="0" w:after="0"/>
    </w:pPr>
    <w:rPr>
      <w:rFonts w:cs="Times New Roman"/>
      <w:sz w:val="20"/>
      <w:szCs w:val="20"/>
      <w:lang w:val="ru-RU" w:eastAsia="ru-RU"/>
    </w:rPr>
  </w:style>
  <w:style w:type="paragraph" w:styleId="Style23">
    <w:name w:val="Footer"/>
    <w:basedOn w:val="Normal"/>
    <w:link w:val="a6"/>
    <w:uiPriority w:val="99"/>
    <w:rsid w:val="00c37d34"/>
    <w:pPr>
      <w:tabs>
        <w:tab w:val="clear" w:pos="709"/>
        <w:tab w:val="center" w:pos="4680" w:leader="none"/>
        <w:tab w:val="right" w:pos="9360" w:leader="none"/>
      </w:tabs>
      <w:spacing w:lineRule="auto" w:line="240" w:before="0" w:after="0"/>
    </w:pPr>
    <w:rPr>
      <w:rFonts w:cs="Times New Roman"/>
      <w:sz w:val="20"/>
      <w:szCs w:val="20"/>
      <w:lang w:val="ru-RU" w:eastAsia="ru-RU"/>
    </w:rPr>
  </w:style>
  <w:style w:type="paragraph" w:styleId="11" w:customStyle="1">
    <w:name w:val="Заголовок1"/>
    <w:basedOn w:val="Normal"/>
    <w:next w:val="Style16"/>
    <w:uiPriority w:val="99"/>
    <w:qFormat/>
    <w:rsid w:val="0061666b"/>
    <w:pPr>
      <w:keepNext w:val="true"/>
      <w:spacing w:before="240" w:after="120"/>
    </w:pPr>
    <w:rPr>
      <w:rFonts w:ascii="Arial" w:hAnsi="Arial" w:cs="Arial"/>
      <w:sz w:val="28"/>
      <w:szCs w:val="28"/>
    </w:rPr>
  </w:style>
  <w:style w:type="paragraph" w:styleId="12" w:customStyle="1">
    <w:name w:val="Текст1"/>
    <w:basedOn w:val="Normal"/>
    <w:uiPriority w:val="99"/>
    <w:qFormat/>
    <w:rsid w:val="00586686"/>
    <w:pPr/>
    <w:rPr/>
  </w:style>
  <w:style w:type="paragraph" w:styleId="32" w:customStyle="1">
    <w:name w:val="Основной текст 32"/>
    <w:basedOn w:val="Normal"/>
    <w:uiPriority w:val="99"/>
    <w:qFormat/>
    <w:rsid w:val="00352a39"/>
    <w:pPr>
      <w:spacing w:lineRule="auto" w:line="240" w:before="0" w:after="120"/>
    </w:pPr>
    <w:rPr>
      <w:sz w:val="16"/>
      <w:szCs w:val="16"/>
      <w:lang w:val="ru-RU" w:eastAsia="ar-SA"/>
    </w:rPr>
  </w:style>
  <w:style w:type="paragraph" w:styleId="ListParagraph">
    <w:name w:val="List Paragraph"/>
    <w:basedOn w:val="Normal"/>
    <w:uiPriority w:val="99"/>
    <w:qFormat/>
    <w:rsid w:val="00ff0a54"/>
    <w:pPr>
      <w:spacing w:lineRule="auto" w:line="259" w:before="0" w:after="160"/>
      <w:ind w:left="720" w:hanging="0"/>
    </w:pPr>
    <w:rPr>
      <w:lang w:val="ru-RU" w:eastAsia="en-US"/>
    </w:rPr>
  </w:style>
  <w:style w:type="paragraph" w:styleId="Bodytext21" w:customStyle="1">
    <w:name w:val="Body text (2)"/>
    <w:basedOn w:val="Normal"/>
    <w:link w:val="Bodytext2"/>
    <w:uiPriority w:val="99"/>
    <w:qFormat/>
    <w:rsid w:val="0041137f"/>
    <w:pPr>
      <w:widowControl w:val="false"/>
      <w:shd w:val="clear" w:color="auto" w:fill="FFFFFF"/>
      <w:spacing w:lineRule="atLeast" w:line="240" w:before="0" w:after="240"/>
      <w:jc w:val="both"/>
    </w:pPr>
    <w:rPr>
      <w:rFonts w:ascii="Arial" w:hAnsi="Arial" w:cs="Times New Roman"/>
      <w:sz w:val="20"/>
      <w:szCs w:val="20"/>
      <w:shd w:fill="FFFFFF" w:val="clear"/>
      <w:lang w:val="ru-RU" w:eastAsia="ru-RU"/>
    </w:rPr>
  </w:style>
  <w:style w:type="paragraph" w:styleId="BalloonText">
    <w:name w:val="Balloon Text"/>
    <w:basedOn w:val="Normal"/>
    <w:link w:val="af"/>
    <w:uiPriority w:val="99"/>
    <w:semiHidden/>
    <w:unhideWhenUsed/>
    <w:qFormat/>
    <w:rsid w:val="00ae17c4"/>
    <w:pPr>
      <w:spacing w:lineRule="auto" w:line="240" w:before="0" w:after="0"/>
    </w:pPr>
    <w:rPr>
      <w:rFonts w:ascii="Segoe UI" w:hAnsi="Segoe UI" w:cs="Segoe UI"/>
      <w:sz w:val="18"/>
      <w:szCs w:val="18"/>
    </w:rPr>
  </w:style>
  <w:style w:type="paragraph" w:styleId="Annotationtext">
    <w:name w:val="annotation text"/>
    <w:basedOn w:val="Normal"/>
    <w:link w:val="af1"/>
    <w:uiPriority w:val="99"/>
    <w:semiHidden/>
    <w:unhideWhenUsed/>
    <w:qFormat/>
    <w:rsid w:val="0005412b"/>
    <w:pPr>
      <w:spacing w:lineRule="auto" w:line="240"/>
    </w:pPr>
    <w:rPr>
      <w:sz w:val="20"/>
      <w:szCs w:val="20"/>
    </w:rPr>
  </w:style>
  <w:style w:type="paragraph" w:styleId="Annotationsubject">
    <w:name w:val="annotation subject"/>
    <w:basedOn w:val="Annotationtext"/>
    <w:next w:val="Annotationtext"/>
    <w:link w:val="af3"/>
    <w:uiPriority w:val="99"/>
    <w:semiHidden/>
    <w:unhideWhenUsed/>
    <w:qFormat/>
    <w:rsid w:val="0005412b"/>
    <w:pPr/>
    <w:rPr>
      <w:b/>
      <w:bCs/>
    </w:rPr>
  </w:style>
  <w:style w:type="paragraph" w:styleId="Style24">
    <w:name w:val="Subtitle"/>
    <w:basedOn w:val="LOnormal"/>
    <w:next w:val="LOnormal"/>
    <w:qFormat/>
    <w:pPr>
      <w:keepNext w:val="true"/>
      <w:keepLines/>
      <w:widowControl/>
      <w:shd w:val="clear" w:fill="auto"/>
      <w:spacing w:lineRule="auto" w:line="276" w:before="360" w:after="80"/>
      <w:ind w:left="0" w:right="0" w:hanging="0"/>
      <w:jc w:val="left"/>
    </w:pPr>
    <w:rPr>
      <w:rFonts w:ascii="Georgia" w:hAnsi="Georgia" w:eastAsia="Georgia" w:cs="Georgia"/>
      <w:b w:val="false"/>
      <w:i/>
      <w:caps w:val="false"/>
      <w:smallCaps w:val="false"/>
      <w:strike w:val="false"/>
      <w:dstrike w:val="false"/>
      <w:color w:val="666666"/>
      <w:position w:val="0"/>
      <w:sz w:val="48"/>
      <w:sz w:val="48"/>
      <w:szCs w:val="48"/>
      <w:u w:val="none"/>
      <w:shd w:fill="auto" w:val="clear"/>
      <w:vertAlign w:val="baseline"/>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a1">
    <w:name w:val="Normal Table"/>
    <w:uiPriority w:val="99"/>
    <w:semiHidden/>
    <w:unhideWhenUsed/>
    <w:tblPr>
      <w:tblCellMar>
        <w:top w:w="0" w:type="dxa"/>
        <w:left w:w="108" w:type="dxa"/>
        <w:bottom w:w="0" w:type="dxa"/>
        <w:right w:w="108" w:type="dxa"/>
      </w:tblCellMar>
    </w:tblPr>
  </w:style>
  <w:style w:type="table" w:styleId="a7">
    <w:name w:val="Table Grid"/>
    <w:basedOn w:val="a1"/>
    <w:uiPriority w:val="99"/>
    <w:rsid w:val="00cc1810"/>
    <w:pPr>
      <w:spacing w:after="200" w:line="27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VmkZ2Uisz9GNQTtryu/+ypJ3q8g==">AMUW2mXYsIxao451lb41wkqMRmZGP44i8pKC0ATJxADSYm3SyFL30RVTLvLE7793hHl/HqF8V1U3QS3Zkn1fHEIyggvSOXlXwD3/c8FOgcjhI5OrDh1su2nKs9HEvwZGx2OE4B6Jq2sd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1522</TotalTime>
  <Application>LibreOffice/7.1.0.3$Windows_X86_64 LibreOffice_project/f6099ecf3d29644b5008cc8f48f42f4a40986e4c</Application>
  <AppVersion>15.0000</AppVersion>
  <Pages>7</Pages>
  <Words>2678</Words>
  <Characters>15811</Characters>
  <CharactersWithSpaces>18718</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2021-03-23T20:22:00Z</dcterms:created>
  <dc:creator>Bugs Bunny</dc:creator>
  <dc:description/>
  <dc:language>ru-RU</dc:language>
  <cp:lastModifiedBy/>
  <dcterms:modified xsi:type="dcterms:W3CDTF">2021-05-29T16:17:57Z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