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Multivariable Logistic Regression Model of Positive Case Predictors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8"/>
        <w:gridCol w:w="1854"/>
        <w:gridCol w:w="1365"/>
        <w:gridCol w:w="2587"/>
        <w:gridCol w:w="134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Term/Level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Odds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Adjusted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3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Heard of AMR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[0.40 – 0.92]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0.021*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 of Sample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Schoolchildren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 [0.45 – 1.01]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Used antibiotics (Past 6 Months)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 [1.04 – 2.54]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0.036*</w:t>
            </w:r>
          </w:p>
        </w:tc>
      </w:tr>
      <w:tr>
        <w:trPr>
          <w:trHeight w:val="571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District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Ilemela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[0.72 – 2.82]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0.311</w:t>
            </w:r>
          </w:p>
        </w:tc>
      </w:tr>
      <w:tr>
        <w:trPr>
          <w:trHeight w:val="61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 [1.56 – 5.67]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0.001**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Moshi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[0.53 – 2.53]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0.701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Moshi 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 [1.07 –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0.034*</w:t>
            </w:r>
          </w:p>
        </w:tc>
      </w:tr>
      <w:tr>
        <w:trPr>
          <w:trHeight w:val="614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Nyamagana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 [0.85 – 3.15]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0.144</w:t>
            </w:r>
          </w:p>
        </w:tc>
      </w:tr>
      <w:tr>
        <w:trPr>
          <w:trHeight w:val="614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 [1.79 – 3.84]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&lt;0.001***</w:t>
            </w:r>
          </w:p>
        </w:tc>
      </w:tr>
      <w:tr>
        <w:trPr>
          <w:trHeight w:val="61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Has a toilet at home place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</w:tr>
      <w:tr>
        <w:trPr>
          <w:trHeight w:val="613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[0.04 – 0.79]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0.025*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Note: Model fit using a generalized linear model (binomial family, logit link). Model Fit: AIC = 711.47; Discrimination: AUC = 0.694 (95% CI: 0.649 – 0.738). Significance levels: *p &lt; 0.05, **p &lt; 0.01, ***p &lt; 0.001. First level listed per variable (OR = 1.00) indicates baseline reference group.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2026-07-31T02:49:12Z</dcterms:modified>
  <cp:category/>
</cp:coreProperties>
</file>