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false"/>
          <w:b w:val="true"/>
          <w:u w:val="none"/>
          <w:strike w:val="false"/>
          <w:sz w:val="36"/>
          <w:szCs w:val="36"/>
          <w:color w:val="1F4E78"/>
        </w:rPr>
        <w:t xml:space="preserve">Statistical Association Analysis Report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Calibri" w:hAnsi="Calibri" w:eastAsia="Calibri" w:cs="Calibri"/>
          <w:i w:val="true"/>
          <w:b w:val="false"/>
          <w:u w:val="none"/>
          <w:strike w:val="false"/>
          <w:sz w:val="22"/>
          <w:szCs w:val="22"/>
          <w:color w:val="595959"/>
        </w:rPr>
        <w:t xml:space="preserve">Pairwise Chi-Squared Tests &amp; Cramer's V Strength of Association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1. Methodology &amp; Overview</w:t>
      </w:r>
    </w:p>
    <w:p>
      <w:pPr>
        <w:pStyle w:val="Normal"/>
      </w:pPr>
      <w:r>
        <w:t xml:space="preserve">This document summarizes the pairwise associations evaluated across the categorical variables. Pearson's Chi-Squared test of independence was performed using Monte Carlo simulated p-values (B = 2,000 simulations) to correct for cell dispersion issues and structural sparsity. Cramer's V metrics measure the strength of relationship effect size.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2. Pairwise Association Table</w:t>
      </w:r>
    </w:p>
    <w:p>
      <w:pPr>
        <w:pStyle w:val="TableCaption"/>
      </w:pPr>
      <w:r>
        <w:t xml:space="preserve">Table 1: Matrix of pairwise associations, significance scores, and descriptive effect sizes.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85"/>
        <w:gridCol w:w="2185"/>
        <w:gridCol w:w="1083"/>
        <w:gridCol w:w="1364"/>
      </w:tblGrid>
      <w:tr>
        <w:trPr>
          <w:trHeight w:val="52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Variable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333333"/>
              </w:rPr>
              <w:t xml:space="preserve">Cramer's V</w:t>
            </w:r>
          </w:p>
        </w:tc>
      </w:tr>
      <w:tr>
        <w:trPr>
          <w:trHeight w:val="48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</w:tr>
      <w:tr>
        <w:trPr>
          <w:trHeight w:val="5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0.094*</w:t>
            </w:r>
          </w:p>
        </w:tc>
      </w:tr>
      <w:tr>
        <w:trPr>
          <w:trHeight w:val="48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0.091*</w:t>
            </w:r>
          </w:p>
        </w:tc>
      </w:tr>
      <w:tr>
        <w:trPr>
          <w:trHeight w:val="48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</w:tr>
      <w:tr>
        <w:trPr>
          <w:trHeight w:val="5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0.280**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0.056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0.042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0.068</w:t>
            </w:r>
          </w:p>
        </w:tc>
      </w:tr>
      <w:tr>
        <w:trPr>
          <w:trHeight w:val="5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0.021</w:t>
            </w:r>
          </w:p>
        </w:tc>
      </w:tr>
      <w:tr>
        <w:trPr>
          <w:trHeight w:val="4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0.340***</w:t>
            </w:r>
          </w:p>
        </w:tc>
      </w:tr>
      <w:tr>
        <w:trPr>
          <w:trHeight w:val="4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0.224**</w:t>
            </w:r>
          </w:p>
        </w:tc>
      </w:tr>
      <w:tr>
        <w:trPr>
          <w:trHeight w:val="5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0.115**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0.091*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0.100</w:t>
            </w:r>
          </w:p>
        </w:tc>
      </w:tr>
      <w:tr>
        <w:trPr>
          <w:trHeight w:val="5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0.059</w:t>
            </w:r>
          </w:p>
        </w:tc>
      </w:tr>
      <w:tr>
        <w:trPr>
          <w:trHeight w:val="5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</w:tr>
      <w:tr>
        <w:trPr>
          <w:trHeight w:val="5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0.944***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0.219**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0.350***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0.241**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ORIGIN_OF_SAMPLE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0.194**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1.000***</w:t>
            </w:r>
          </w:p>
        </w:tc>
      </w:tr>
      <w:tr>
        <w:trPr>
          <w:trHeight w:val="4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0.303***</w:t>
            </w:r>
          </w:p>
        </w:tc>
      </w:tr>
      <w:tr>
        <w:trPr>
          <w:trHeight w:val="5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0.190**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0.216**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0.301***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0.293**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0.178**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0.240**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0.165**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Demographic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0.203**</w:t>
            </w:r>
          </w:p>
        </w:tc>
      </w:tr>
      <w:tr>
        <w:trPr>
          <w:trHeight w:val="5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0.164**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0.174**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0.033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0.029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0.337***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0.206**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0.348***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0.259**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0.177**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0.085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0.195**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Heard_AMR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0.134**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0.149**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0.020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0.036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Used_AB_SIXM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0.071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0.324***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Owns_Farm_Animals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OWNS_Poultry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0.192**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0.286**</w:t>
            </w:r>
          </w:p>
        </w:tc>
      </w:tr>
      <w:tr>
        <w:trPr>
          <w:trHeight w:val="52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Has_Toilet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</w:tr>
      <w:tr>
        <w:trPr>
          <w:trHeight w:val="52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Wash_Hands_Toilet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OccupationalStatus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0.181**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</w:pPr>
      <w:r>
        <w:t xml:space="preserve">Note: Association strength tiers are indicated via Cramer's V coefficients using asterisks based on statistical significance (p &lt; 0.05): 
* = Weak relationship (Cramer's V &lt; 0.10), 
** = Moderate relationship (Cramer's V 0.10 to &lt; 0.30), and 
*** = Strong relationship (Cramer's V ≥ 0.30).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2026-07-30T23:49:04Z</dcterms:modified>
  <cp:category/>
</cp:coreProperties>
</file>