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Figure 1</w:t>
      </w:r>
    </w:p>
    <w:p>
      <w:pPr>
        <w:pStyle w:val="Normal"/>
      </w:pPr>
      <w:r>
        <w:t xml:space="preserve">Receiver Operating Characteristic (ROC) Curve of the Multivariate Predictive Model</w:t>
      </w:r>
    </w:p>
    <w:p>
      <w:pPr>
        <w:pStyle w:val="Normal"/>
      </w:pPr>
      <w:r>
        <w:rPr/>
        <w:drawing>
          <wp:inline distT="0" distB="0" distL="0" distR="0">
            <wp:extent cx="45720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Note: The blue solid line represents model performance (AUC = 0.697). The gray dashed line represents the reference line of chance (AUC = 0.50).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7b8f0534d8caca07c7b6f415abfca48f9d6bf7ef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2026-07-21T11:12:38Z</dcterms:modified>
  <cp:category/>
</cp:coreProperties>
</file>