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Fig. 1 Receiver Operating Characteristic (ROC) curve of the multivariable predictive model</w:t>
      </w:r>
    </w:p>
    <w:p>
      <w:pPr>
        <w:pStyle w:val="Normal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Note: The blue solid line represents overall model performance (AUC = 0.694 (95% CI: 0.649 – 0.738)). The gray dashed line represents the non-discrimination reference line (AUC = 0.500).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05b2c57a0b33bd54d470f39a11a370c990080fc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2026-07-31T02:49:13Z</dcterms:modified>
  <cp:category/>
</cp:coreProperties>
</file>