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Analysis Report: Univariate Logistic Regression Models</w:t>
      </w:r>
    </w:p>
    <w:p>
      <w:pPr>
        <w:pStyle w:val="Normal"/>
      </w:pPr>
      <w:r>
        <w:t xml:space="preserve">Generated automatically from consolidated R workspace metrics.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2"/>
        <w:gridCol w:w="2922"/>
        <w:gridCol w:w="1961"/>
        <w:gridCol w:w="2051"/>
        <w:gridCol w:w="1365"/>
        <w:gridCol w:w="411"/>
      </w:tblGrid>
      <w:tr>
        <w:trPr>
          <w:trHeight w:val="59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Term / Group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Log-Odds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Odds Ratio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 [0.70 - 1.39]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Kilimanjaro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Mwanza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[0.73 - 1.49]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Ilemela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 [0.58 - 2.08]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 [1.23 - 4.20]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0.009**†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[0.50 - 2.21]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2.08 [1.07 - 4.10]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Nyamagana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 [0.59 - 2.00]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 [0.60 - 1.20]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 [1.90 - 3.86]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[0.56 - 1.53]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Middle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 [0.80 - 5.19]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 [0.11 - 3.97]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 [0.54 - 1.60]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Young 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 [0.67 - 2.14]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Outpatient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Schoolchildren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 [0.52 - 1.04]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 [0.49 - 1.01]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 [0.64 - 2.92]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[0.98 - 2.12]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 [0.64 - 1.27]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[0.69 - 1.45]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[0.06 - 1.21]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 [0.53 - 1.38]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Agriculture and Transportation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 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[0.50 - 1.63]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Informal/Self 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[0.80 - 1.68]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1.57 [0.59 - 4.02]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ableCaption"/>
      </w:pPr>
      <w:r>
        <w:t xml:space="preserve">Note: First level listed for each variable (OR = 1.00) represents the baseline reference group. Significance tiers: *p &lt; 0.05, **p &lt; 0.01, ***p &lt; 0.001. † Screened for multivariable model inclusion (p &lt; 0.20).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2026-07-30T23:46:23Z</dcterms:modified>
  <cp:category/>
</cp:coreProperties>
</file>