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Multivariable Logistic Regression Model of Positive Case Predictors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8"/>
        <w:gridCol w:w="1854"/>
        <w:gridCol w:w="1365"/>
        <w:gridCol w:w="2587"/>
        <w:gridCol w:w="134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Term/Level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Odds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3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Heard of AMR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[0.40 –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0.021*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 of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[0.45 – 1.01]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Used antibiotics (Past 6 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 [1.04 – 2.54]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0.036*</w:t>
            </w:r>
          </w:p>
        </w:tc>
      </w:tr>
      <w:tr>
        <w:trPr>
          <w:trHeight w:val="571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Ilemela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[0.72 – 2.82]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</w:tr>
      <w:tr>
        <w:trPr>
          <w:trHeight w:val="61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 [1.56 – 5.67]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0.001**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Moshi 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[0.53 – 2.53]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0.701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Moshi 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 [1.07 – 4.35]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0.034*</w:t>
            </w:r>
          </w:p>
        </w:tc>
      </w:tr>
      <w:tr>
        <w:trPr>
          <w:trHeight w:val="61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Nyamagana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 [0.85 – 3.15]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</w:tr>
      <w:tr>
        <w:trPr>
          <w:trHeight w:val="614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 [1.79 – 3.84]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&lt;0.001***</w:t>
            </w:r>
          </w:p>
        </w:tc>
      </w:tr>
      <w:tr>
        <w:trPr>
          <w:trHeight w:val="61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Has a toilet at home place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[0.04 – 0.79]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Model fit using a generalized linear model (binomial family, logit link). Model Fit: AIC = 711.47; Discrimination: AUC = 0.694 (95% CI: 0.649 – 0.738). Significance levels: *p &lt; 0.05, **p &lt; 0.01, ***p &lt; 0.001. First level listed per variable (OR = 1.00) indicates baseline reference group.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2026-07-23T03:36:29Z</dcterms:modified>
  <cp:category/>
</cp:coreProperties>
</file>