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pPr>
        <w:spacing w:line="480" w:lineRule="auto"/>
        <w:jc w:val="both"/>
        <w:rPr>
          <w:rFonts w:hint="default" w:ascii="Times New Roman" w:hAnsi="Times New Roman" w:eastAsia="Times New Roman"/>
          <w:sz w:val="24"/>
          <w:szCs w:val="24"/>
        </w:rPr>
      </w:pPr>
      <w:r>
        <w:rPr>
          <w:rFonts w:hint="default" w:ascii="Times New Roman" w:hAnsi="Times New Roman" w:eastAsia="Times New Roman"/>
          <w:sz w:val="24"/>
          <w:szCs w:val="24"/>
        </w:rPr>
        <w:t>Diversity indices characterizing</w:t>
      </w:r>
      <w:r>
        <w:rPr>
          <w:rFonts w:hint="default" w:ascii="Times New Roman" w:hAnsi="Times New Roman" w:eastAsia="Times New Roman"/>
          <w:sz w:val="24"/>
          <w:szCs w:val="24"/>
          <w:lang w:val="en-US"/>
        </w:rPr>
        <w:t xml:space="preserve"> the</w:t>
      </w:r>
      <w:r>
        <w:rPr>
          <w:rFonts w:hint="default" w:ascii="Times New Roman" w:hAnsi="Times New Roman" w:eastAsia="Times New Roman"/>
          <w:sz w:val="24"/>
          <w:szCs w:val="24"/>
        </w:rPr>
        <w:t xml:space="preserve"> ants' epigaeic activity, including abundance, richness, evenness, dominance, Simpson’s, and Shannon-Wiener H′, were computed using PAST software (version 4.13). To assess the impact of the waiting period on these indices, a General Linear Model (GLM) with a log link was employed</w:t>
      </w:r>
      <w:r>
        <w:rPr>
          <w:rFonts w:hint="default" w:ascii="Times New Roman" w:hAnsi="Times New Roman" w:eastAsia="Times New Roman"/>
          <w:sz w:val="24"/>
          <w:szCs w:val="24"/>
          <w:lang w:val="en-US"/>
        </w:rPr>
        <w:t xml:space="preserve"> using the glm function of lme4 R package</w:t>
      </w:r>
      <w:r>
        <w:rPr>
          <w:rFonts w:hint="default" w:ascii="Times New Roman" w:hAnsi="Times New Roman" w:eastAsia="Times New Roman"/>
          <w:sz w:val="24"/>
          <w:szCs w:val="24"/>
        </w:rPr>
        <w:t xml:space="preserve">. Abundance was compared across three sampling periods using a Poisson distribution, while other indices were computed with a Gamma distribution. </w:t>
      </w:r>
    </w:p>
    <w:p>
      <w:pPr>
        <w:spacing w:line="48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rPr>
        <w:t>Testing the influence of waiting days on community indices involved a Generalized Linear Model with Mixed Effects (GLMM) for each index.</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For abundance, a Poisson distribution with a log link was applied.</w:t>
      </w:r>
      <w:r>
        <w:rPr>
          <w:rFonts w:hint="default" w:ascii="Times New Roman" w:hAnsi="Times New Roman" w:eastAsia="Times New Roman"/>
          <w:sz w:val="24"/>
          <w:szCs w:val="24"/>
          <w:lang w:val="en-US"/>
        </w:rPr>
        <w:t xml:space="preserve"> Other indices</w:t>
      </w:r>
      <w:r>
        <w:rPr>
          <w:rFonts w:hint="default" w:ascii="Times New Roman" w:hAnsi="Times New Roman" w:eastAsia="Times New Roman"/>
          <w:sz w:val="24"/>
          <w:szCs w:val="24"/>
        </w:rPr>
        <w:t xml:space="preserve"> were</w:t>
      </w:r>
      <w:r>
        <w:rPr>
          <w:rFonts w:hint="default" w:ascii="Times New Roman" w:hAnsi="Times New Roman" w:eastAsia="Times New Roman"/>
          <w:sz w:val="24"/>
          <w:szCs w:val="24"/>
          <w:lang w:val="en-US"/>
        </w:rPr>
        <w:t xml:space="preserve"> likewise</w:t>
      </w:r>
      <w:r>
        <w:rPr>
          <w:rFonts w:hint="default" w:ascii="Times New Roman" w:hAnsi="Times New Roman" w:eastAsia="Times New Roman"/>
          <w:sz w:val="24"/>
          <w:szCs w:val="24"/>
        </w:rPr>
        <w:t xml:space="preserve"> analyzed</w:t>
      </w:r>
      <w:r>
        <w:rPr>
          <w:rFonts w:hint="default" w:ascii="Times New Roman" w:hAnsi="Times New Roman" w:eastAsia="Times New Roman"/>
          <w:sz w:val="24"/>
          <w:szCs w:val="24"/>
          <w:lang w:val="en-US"/>
        </w:rPr>
        <w:t xml:space="preserve">, but </w:t>
      </w:r>
      <w:r>
        <w:rPr>
          <w:rFonts w:hint="default" w:ascii="Times New Roman" w:hAnsi="Times New Roman" w:eastAsia="Times New Roman"/>
          <w:sz w:val="24"/>
          <w:szCs w:val="24"/>
        </w:rPr>
        <w:t xml:space="preserve">using </w:t>
      </w:r>
      <w:r>
        <w:rPr>
          <w:rFonts w:hint="default" w:ascii="Times New Roman" w:hAnsi="Times New Roman" w:eastAsia="Times New Roman"/>
          <w:sz w:val="24"/>
          <w:szCs w:val="24"/>
          <w:lang w:val="en-US"/>
        </w:rPr>
        <w:t xml:space="preserve">a </w:t>
      </w:r>
      <w:r>
        <w:rPr>
          <w:rFonts w:hint="default" w:ascii="Times New Roman" w:hAnsi="Times New Roman" w:eastAsia="Times New Roman"/>
          <w:sz w:val="24"/>
          <w:szCs w:val="24"/>
        </w:rPr>
        <w:t xml:space="preserve">Gamma distribution with the log link. </w:t>
      </w:r>
      <w:r>
        <w:rPr>
          <w:rFonts w:hint="default" w:ascii="Times New Roman" w:hAnsi="Times New Roman" w:eastAsia="Times New Roman"/>
          <w:sz w:val="24"/>
          <w:szCs w:val="24"/>
          <w:lang w:val="en-US"/>
        </w:rPr>
        <w:t xml:space="preserve">However, the </w:t>
      </w:r>
      <w:r>
        <w:rPr>
          <w:rFonts w:hint="default" w:ascii="Times New Roman" w:hAnsi="Times New Roman" w:eastAsia="Times New Roman"/>
          <w:sz w:val="24"/>
          <w:szCs w:val="24"/>
        </w:rPr>
        <w:t xml:space="preserve">Shannon and Simpson's diversity indices encountered </w:t>
      </w:r>
      <w:bookmarkStart w:id="1" w:name="_GoBack"/>
      <w:bookmarkEnd w:id="1"/>
      <w:r>
        <w:rPr>
          <w:rFonts w:hint="default" w:ascii="Times New Roman" w:hAnsi="Times New Roman" w:eastAsia="Times New Roman"/>
          <w:sz w:val="24"/>
          <w:szCs w:val="24"/>
        </w:rPr>
        <w:t xml:space="preserve">computational challenges in the </w:t>
      </w:r>
      <w:r>
        <w:rPr>
          <w:rFonts w:ascii="Times New Roman" w:hAnsi="Times New Roman" w:eastAsia="Times New Roman" w:cs="Times New Roman"/>
          <w:sz w:val="24"/>
          <w:szCs w:val="24"/>
        </w:rPr>
        <w:t xml:space="preserve">glmer </w:t>
      </w:r>
      <w:r>
        <w:rPr>
          <w:rFonts w:hint="default" w:ascii="Times New Roman" w:hAnsi="Times New Roman" w:eastAsia="Times New Roman"/>
          <w:sz w:val="24"/>
          <w:szCs w:val="24"/>
        </w:rPr>
        <w:t>function</w:t>
      </w:r>
      <w:r>
        <w:rPr>
          <w:rFonts w:hint="default" w:ascii="Times New Roman" w:hAnsi="Times New Roman" w:eastAsia="Times New Roman"/>
          <w:sz w:val="24"/>
          <w:szCs w:val="24"/>
          <w:lang w:val="en-US"/>
        </w:rPr>
        <w:t>;</w:t>
      </w:r>
      <w:r>
        <w:rPr>
          <w:rFonts w:hint="default" w:ascii="Times New Roman" w:hAnsi="Times New Roman" w:eastAsia="Times New Roman"/>
          <w:sz w:val="24"/>
          <w:szCs w:val="24"/>
        </w:rPr>
        <w:t xml:space="preserve"> due to three out of 108 observations being non-positive </w:t>
      </w:r>
      <w:r>
        <w:rPr>
          <w:rFonts w:hint="default" w:ascii="Times New Roman" w:hAnsi="Times New Roman" w:eastAsia="Times New Roman"/>
          <w:sz w:val="24"/>
          <w:szCs w:val="24"/>
          <w:lang w:val="en-US"/>
        </w:rPr>
        <w:t>-</w:t>
      </w:r>
      <w:r>
        <w:rPr>
          <w:rFonts w:hint="default" w:ascii="Times New Roman" w:hAnsi="Times New Roman" w:eastAsia="Times New Roman"/>
          <w:sz w:val="24"/>
          <w:szCs w:val="24"/>
        </w:rPr>
        <w:t>Zeros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as computed from PAST software. To address this, </w:t>
      </w:r>
      <w:r>
        <w:rPr>
          <w:rFonts w:hint="default" w:ascii="Times New Roman" w:hAnsi="Times New Roman" w:eastAsia="Times New Roman"/>
          <w:sz w:val="24"/>
          <w:szCs w:val="24"/>
          <w:lang w:val="en-US"/>
        </w:rPr>
        <w:t xml:space="preserve">the </w:t>
      </w:r>
      <w:r>
        <w:rPr>
          <w:rFonts w:hint="default" w:ascii="Times New Roman" w:hAnsi="Times New Roman" w:eastAsia="Times New Roman"/>
          <w:sz w:val="24"/>
          <w:szCs w:val="24"/>
        </w:rPr>
        <w:t>Zeros were excluded to facilitate computation in the glmer function.</w:t>
      </w:r>
      <w:r>
        <w:rPr>
          <w:rFonts w:hint="default" w:ascii="Times New Roman" w:hAnsi="Times New Roman" w:eastAsia="Times New Roman"/>
          <w:sz w:val="24"/>
          <w:szCs w:val="24"/>
          <w:lang w:val="en-US"/>
        </w:rPr>
        <w:t xml:space="preserve"> </w:t>
      </w:r>
      <w:r>
        <w:rPr>
          <w:rFonts w:ascii="Times New Roman" w:hAnsi="Times New Roman" w:eastAsia="Times New Roman" w:cs="Times New Roman"/>
          <w:sz w:val="24"/>
          <w:szCs w:val="24"/>
        </w:rPr>
        <w:t xml:space="preserve">We </w:t>
      </w:r>
      <w:r>
        <w:rPr>
          <w:rFonts w:hint="default" w:ascii="Times New Roman" w:hAnsi="Times New Roman" w:eastAsia="Times New Roman" w:cs="Times New Roman"/>
          <w:sz w:val="24"/>
          <w:szCs w:val="24"/>
          <w:lang w:val="en-US"/>
        </w:rPr>
        <w:t xml:space="preserve">ran these GLMMs </w:t>
      </w:r>
      <w:r>
        <w:rPr>
          <w:rFonts w:ascii="Times New Roman" w:hAnsi="Times New Roman" w:eastAsia="Times New Roman" w:cs="Times New Roman"/>
          <w:sz w:val="24"/>
          <w:szCs w:val="24"/>
        </w:rPr>
        <w:t>using days of sampling</w:t>
      </w:r>
      <w:r>
        <w:rPr>
          <w:rFonts w:hint="default" w:ascii="Times New Roman" w:hAnsi="Times New Roman" w:eastAsia="Times New Roman" w:cs="Times New Roman"/>
          <w:sz w:val="24"/>
          <w:szCs w:val="24"/>
          <w:lang w:val="en-US"/>
        </w:rPr>
        <w:t xml:space="preserve"> as the explanatory variable</w:t>
      </w:r>
      <w:r>
        <w:rPr>
          <w:rFonts w:ascii="Times New Roman" w:hAnsi="Times New Roman" w:eastAsia="Times New Roman" w:cs="Times New Roman"/>
          <w:sz w:val="24"/>
          <w:szCs w:val="24"/>
        </w:rPr>
        <w:t>. Since different pitfall traps were used, and multiple collections were made temporarily and spatially, we used Pitfall traps as the random effect. These analyses utilized R version 4.1.3- "One Push-Up”</w:t>
      </w:r>
      <w:r>
        <w:rPr>
          <w:rFonts w:hint="default" w:ascii="Times New Roman" w:hAnsi="Times New Roman" w:eastAsia="Times New Roman" w:cs="Times New Roman"/>
          <w:sz w:val="24"/>
          <w:szCs w:val="24"/>
          <w:lang w:val="en-US"/>
        </w:rPr>
        <w:t>.</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RESULT</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1: GLMM result for day……….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Diversity indices</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equation (intercept + slope estimate (x))</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Standard error</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 + slope estimate (x))</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Z/t value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Abundance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4.7102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0.1890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24.93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-0.2640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0.0238</w:t>
            </w:r>
          </w:p>
        </w:tc>
        <w:tc>
          <w:tcPr>
            <w:tcW w:w="1870" w:type="dxa"/>
          </w:tcPr>
          <w:p>
            <w:pPr>
              <w:spacing w:after="0" w:line="480" w:lineRule="auto"/>
              <w:jc w:val="both"/>
              <w:rPr>
                <w:rFonts w:ascii="Times New Roman" w:hAnsi="Times New Roman" w:eastAsia="Times New Roman" w:cs="Times New Roman"/>
                <w:sz w:val="24"/>
                <w:szCs w:val="24"/>
              </w:rPr>
            </w:pPr>
            <w:bookmarkStart w:id="0" w:name="_Hlk155192849"/>
            <w:r>
              <w:rPr>
                <w:rFonts w:ascii="Times New Roman" w:hAnsi="Times New Roman" w:eastAsia="Times New Roman" w:cs="Times New Roman"/>
                <w:sz w:val="24"/>
                <w:szCs w:val="24"/>
              </w:rPr>
              <w:t xml:space="preserve">-11.09   </w:t>
            </w:r>
            <w:bookmarkEnd w:id="0"/>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Evenness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-0.54106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0.11260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-4.805</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0.02969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0.01537</w:t>
            </w:r>
          </w:p>
        </w:tc>
        <w:tc>
          <w:tcPr>
            <w:tcW w:w="187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1.932</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Dominance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-0.28506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0.15590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-1.828</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-0.06016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0.02186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-2.752</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Simpson_1.D</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-1.14559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0.19444</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-5.892</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0.05483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0.02604</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Shannon_H</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-0.59283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0.17691</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-3.351</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 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0.06355</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0.02369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2.683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bl>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Results relevant to our research hypothesis were summarized in table… We detected a significant negative relationship between ant abundance and waiting day intervals f (Z= -11.09; p &lt; 0.001). There was significant outlier at the beginning of the second period ant collection, which stepped down as collection continued (fig. ). Also, dominance reduced significantly with increase in waiting days (t= -1.828; p&lt; 0.01). Evenness did not differ significantly with time, however Simpson  and Shannon diversity estimates increased significantly with increasing waiting period.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2: GLM table for Periods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gridSpan w:val="2"/>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Diversity indices</w:t>
            </w:r>
          </w:p>
        </w:tc>
        <w:tc>
          <w:tcPr>
            <w:tcW w:w="1595"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equation (intercept + slope estimate (x))</w:t>
            </w:r>
          </w:p>
        </w:tc>
        <w:tc>
          <w:tcPr>
            <w:tcW w:w="1595"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Standard error</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 + slope estimate (x))</w:t>
            </w:r>
          </w:p>
        </w:tc>
        <w:tc>
          <w:tcPr>
            <w:tcW w:w="1595"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Z/t value</w:t>
            </w:r>
          </w:p>
        </w:tc>
        <w:tc>
          <w:tcPr>
            <w:tcW w:w="1596"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Abundance</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3.32023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0.03169</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104.785 </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0.12623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0.04346</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2.904</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-0.89003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0.05873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-15.155</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Evenness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-0.29593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0.03879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-7.630</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-0.15669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0.05485</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-2.856</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0.05466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0.05485</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0.996</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Dominance</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-0.58380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0.06535</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-8.933 </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-0.03244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0.09242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-0.351</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-0.13234</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0.09242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-1.432   </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Simpson_1.D</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-0.78774</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0.06676</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-11.800</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0.01128</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0.09375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0.120 </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0.17423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0.09510</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1.832</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Shannon_H</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-0.26257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0.06697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-3.921</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0.17660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0.09405</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1.878</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spacing w:line="480" w:lineRule="auto"/>
              <w:jc w:val="both"/>
              <w:rPr>
                <w:rFonts w:ascii="Times New Roman" w:hAnsi="Times New Roman" w:eastAsia="Times New Roman" w:cs="Times New Roman"/>
                <w:sz w:val="24"/>
                <w:szCs w:val="24"/>
              </w:rPr>
            </w:pP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0.27447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0.09540 </w:t>
            </w:r>
          </w:p>
        </w:tc>
        <w:tc>
          <w:tcPr>
            <w:tcW w:w="159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2.877</w:t>
            </w:r>
          </w:p>
        </w:tc>
        <w:tc>
          <w:tcPr>
            <w:tcW w:w="1596"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bl>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2: GLM table for Periods correct (without releveling)</w:t>
      </w:r>
    </w:p>
    <w:p>
      <w:pPr>
        <w:spacing w:line="480" w:lineRule="auto"/>
        <w:jc w:val="both"/>
        <w:rPr>
          <w:rFonts w:ascii="Times New Roman" w:hAnsi="Times New Roman" w:eastAsia="Times New Roman" w:cs="Times New Roma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551"/>
        <w:gridCol w:w="1569"/>
        <w:gridCol w:w="1557"/>
        <w:gridCol w:w="1545"/>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41" w:type="dxa"/>
            <w:gridSpan w:val="2"/>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Diversity indices</w:t>
            </w:r>
          </w:p>
        </w:tc>
        <w:tc>
          <w:tcPr>
            <w:tcW w:w="1569"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equation (intercept + slope estimate (x))</w:t>
            </w:r>
          </w:p>
        </w:tc>
        <w:tc>
          <w:tcPr>
            <w:tcW w:w="1557"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Standard error</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 + slope estimate (x))</w:t>
            </w:r>
          </w:p>
        </w:tc>
        <w:tc>
          <w:tcPr>
            <w:tcW w:w="1545"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Z/t value</w:t>
            </w:r>
          </w:p>
        </w:tc>
        <w:tc>
          <w:tcPr>
            <w:tcW w:w="1538"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Abundance</w:t>
            </w: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4.41884</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0.03169</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139.457</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69"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0.12534</w:t>
            </w:r>
          </w:p>
        </w:tc>
        <w:tc>
          <w:tcPr>
            <w:tcW w:w="1557"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0.04347</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2.883</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-0.90481</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0.05904</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-15.326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Evenness </w:t>
            </w: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-0.50629</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0.08087</w:t>
            </w:r>
          </w:p>
        </w:tc>
        <w:tc>
          <w:tcPr>
            <w:tcW w:w="1545"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-6.261</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-0.26483</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0.11437</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-2.316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0.04415</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0.11437</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0.386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Dominance</w:t>
            </w: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-0.74299</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0.08796</w:t>
            </w:r>
          </w:p>
        </w:tc>
        <w:tc>
          <w:tcPr>
            <w:tcW w:w="1545"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-8.447</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0.13760</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0.12439</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1.106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-0.34163</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0.12439</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-2.746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Simpson_1.D</w:t>
            </w: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-0.64568</w:t>
            </w:r>
          </w:p>
        </w:tc>
        <w:tc>
          <w:tcPr>
            <w:tcW w:w="1557"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0.09351</w:t>
            </w:r>
          </w:p>
        </w:tc>
        <w:tc>
          <w:tcPr>
            <w:tcW w:w="1545"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-6.905</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-0.14369</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0.13224</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-1.087</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69"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0.23314</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0.13224</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1.763</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Shannon_H</w:t>
            </w: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w:t>
            </w:r>
          </w:p>
        </w:tc>
        <w:tc>
          <w:tcPr>
            <w:tcW w:w="1569" w:type="dxa"/>
          </w:tcPr>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-0.09426</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0.09276</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-1.016</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2</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0.09149</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0.13118</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0.697</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spacing w:line="480" w:lineRule="auto"/>
              <w:jc w:val="both"/>
              <w:rPr>
                <w:rFonts w:ascii="Times New Roman" w:hAnsi="Times New Roman" w:eastAsia="Times New Roman" w:cs="Times New Roman"/>
                <w:sz w:val="24"/>
                <w:szCs w:val="24"/>
              </w:rPr>
            </w:pPr>
          </w:p>
        </w:tc>
        <w:tc>
          <w:tcPr>
            <w:tcW w:w="1551"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Period 3</w:t>
            </w:r>
          </w:p>
        </w:tc>
        <w:tc>
          <w:tcPr>
            <w:tcW w:w="1569"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0.40884</w:t>
            </w:r>
          </w:p>
        </w:tc>
        <w:tc>
          <w:tcPr>
            <w:tcW w:w="1557"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0.13118</w:t>
            </w:r>
          </w:p>
        </w:tc>
        <w:tc>
          <w:tcPr>
            <w:tcW w:w="1545"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3.117</w:t>
            </w:r>
          </w:p>
        </w:tc>
        <w:tc>
          <w:tcPr>
            <w:tcW w:w="1538" w:type="dxa"/>
          </w:tcPr>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bl>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Releveling with ref= S2</w:t>
      </w:r>
    </w:p>
    <w:p>
      <w:pPr>
        <w:pStyle w:val="4"/>
        <w:shd w:val="clear" w:color="auto" w:fill="161616"/>
        <w:wordWrap w:val="0"/>
        <w:rPr>
          <w:rFonts w:ascii="Lucida Console" w:hAnsi="Lucida Console"/>
          <w:color w:val="E6E1DC"/>
        </w:rPr>
      </w:pPr>
      <w:r>
        <w:rPr>
          <w:rFonts w:ascii="Times New Roman" w:hAnsi="Times New Roman" w:cs="Times New Roman"/>
          <w:sz w:val="24"/>
          <w:szCs w:val="24"/>
        </w:rPr>
        <w:t xml:space="preserve">Abundance: </w:t>
      </w:r>
      <w:r>
        <w:rPr>
          <w:rFonts w:ascii="Lucida Console" w:hAnsi="Lucida Console"/>
          <w:color w:val="E6E1DC"/>
        </w:rPr>
        <w:t>PeriodS3    -1.03015    0.05803 -17.753  &lt; 2e-16 ***</w:t>
      </w:r>
    </w:p>
    <w:p>
      <w:pPr>
        <w:spacing w:line="480" w:lineRule="auto"/>
        <w:jc w:val="both"/>
        <w:rPr>
          <w:rFonts w:ascii="Times New Roman" w:hAnsi="Times New Roman" w:eastAsia="Times New Roman" w:cs="Times New Roman"/>
          <w:sz w:val="24"/>
          <w:szCs w:val="24"/>
        </w:rPr>
      </w:pPr>
    </w:p>
    <w:p>
      <w:pPr>
        <w:pStyle w:val="4"/>
        <w:shd w:val="clear" w:color="auto" w:fill="161616"/>
        <w:wordWrap w:val="0"/>
        <w:rPr>
          <w:rFonts w:ascii="Lucida Console" w:hAnsi="Lucida Console"/>
          <w:color w:val="E6E1DC"/>
        </w:rPr>
      </w:pPr>
      <w:r>
        <w:rPr>
          <w:rFonts w:ascii="Times New Roman" w:hAnsi="Times New Roman" w:cs="Times New Roman"/>
          <w:sz w:val="24"/>
          <w:szCs w:val="24"/>
        </w:rPr>
        <w:t xml:space="preserve">Evenness: </w:t>
      </w:r>
      <w:r>
        <w:rPr>
          <w:rStyle w:val="7"/>
          <w:rFonts w:ascii="Lucida Console" w:hAnsi="Lucida Console"/>
          <w:color w:val="E6E1DC"/>
        </w:rPr>
        <w:t xml:space="preserve">PeriodS3     0.30899    0.11437   2.702   0.0108 *  </w:t>
      </w:r>
    </w:p>
    <w:p>
      <w:pPr>
        <w:spacing w:line="480" w:lineRule="auto"/>
        <w:jc w:val="both"/>
        <w:rPr>
          <w:rFonts w:ascii="Times New Roman" w:hAnsi="Times New Roman" w:eastAsia="Times New Roman" w:cs="Times New Roman"/>
          <w:sz w:val="24"/>
          <w:szCs w:val="24"/>
        </w:rPr>
      </w:pPr>
    </w:p>
    <w:p>
      <w:pPr>
        <w:pStyle w:val="4"/>
        <w:shd w:val="clear" w:color="auto" w:fill="161616"/>
        <w:wordWrap w:val="0"/>
        <w:rPr>
          <w:rFonts w:ascii="Lucida Console" w:hAnsi="Lucida Console"/>
          <w:color w:val="E6E1DC"/>
        </w:rPr>
      </w:pPr>
      <w:r>
        <w:rPr>
          <w:rFonts w:ascii="Times New Roman" w:hAnsi="Times New Roman" w:cs="Times New Roman"/>
          <w:sz w:val="24"/>
          <w:szCs w:val="24"/>
        </w:rPr>
        <w:t xml:space="preserve">Dominance: </w:t>
      </w:r>
      <w:r>
        <w:rPr>
          <w:rStyle w:val="7"/>
          <w:rFonts w:ascii="Lucida Console" w:hAnsi="Lucida Console"/>
          <w:color w:val="E6E1DC"/>
        </w:rPr>
        <w:t>PeriodS3    -0.47923    0.12439  -3.853  0.00051 ***</w:t>
      </w:r>
    </w:p>
    <w:p>
      <w:pPr>
        <w:spacing w:line="480" w:lineRule="auto"/>
        <w:jc w:val="both"/>
        <w:rPr>
          <w:rFonts w:ascii="Times New Roman" w:hAnsi="Times New Roman" w:eastAsia="Times New Roman" w:cs="Times New Roman"/>
          <w:sz w:val="24"/>
          <w:szCs w:val="24"/>
        </w:rPr>
      </w:pPr>
    </w:p>
    <w:p>
      <w:pPr>
        <w:pStyle w:val="4"/>
        <w:shd w:val="clear" w:color="auto" w:fill="161616"/>
        <w:wordWrap w:val="0"/>
        <w:rPr>
          <w:rFonts w:ascii="Lucida Console" w:hAnsi="Lucida Console"/>
          <w:color w:val="E6E1DC"/>
        </w:rPr>
      </w:pPr>
      <w:r>
        <w:rPr>
          <w:rFonts w:ascii="Times New Roman" w:hAnsi="Times New Roman" w:cs="Times New Roman"/>
          <w:sz w:val="24"/>
          <w:szCs w:val="24"/>
        </w:rPr>
        <w:t xml:space="preserve">Simpsons: </w:t>
      </w:r>
      <w:r>
        <w:rPr>
          <w:rStyle w:val="7"/>
          <w:rFonts w:ascii="Lucida Console" w:hAnsi="Lucida Console"/>
          <w:color w:val="E6E1DC"/>
        </w:rPr>
        <w:t xml:space="preserve">PeriodS3     0.37682    0.13224   2.850  0.00748 ** </w:t>
      </w:r>
    </w:p>
    <w:p>
      <w:pPr>
        <w:spacing w:line="480" w:lineRule="auto"/>
        <w:jc w:val="both"/>
        <w:rPr>
          <w:rFonts w:ascii="Times New Roman" w:hAnsi="Times New Roman" w:eastAsia="Times New Roman" w:cs="Times New Roman"/>
          <w:sz w:val="24"/>
          <w:szCs w:val="24"/>
        </w:rPr>
      </w:pPr>
    </w:p>
    <w:p>
      <w:pPr>
        <w:pStyle w:val="4"/>
        <w:shd w:val="clear" w:color="auto" w:fill="161616"/>
        <w:wordWrap w:val="0"/>
        <w:rPr>
          <w:rFonts w:ascii="Lucida Console" w:hAnsi="Lucida Console"/>
          <w:color w:val="E6E1DC"/>
        </w:rPr>
      </w:pPr>
      <w:r>
        <w:rPr>
          <w:rFonts w:ascii="Times New Roman" w:hAnsi="Times New Roman" w:cs="Times New Roman"/>
          <w:sz w:val="24"/>
          <w:szCs w:val="24"/>
        </w:rPr>
        <w:t xml:space="preserve">Shannon: </w:t>
      </w:r>
      <w:r>
        <w:rPr>
          <w:rStyle w:val="7"/>
          <w:rFonts w:ascii="Lucida Console" w:hAnsi="Lucida Console"/>
          <w:color w:val="E6E1DC"/>
        </w:rPr>
        <w:t>PeriodS3     0.31735    0.13118   2.419   0.0212 *</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D4"/>
    <w:rsid w:val="001B19B8"/>
    <w:rsid w:val="001C2A45"/>
    <w:rsid w:val="00223076"/>
    <w:rsid w:val="00276055"/>
    <w:rsid w:val="00345718"/>
    <w:rsid w:val="00413E20"/>
    <w:rsid w:val="00413EA1"/>
    <w:rsid w:val="00437046"/>
    <w:rsid w:val="004409AB"/>
    <w:rsid w:val="0047411E"/>
    <w:rsid w:val="00480051"/>
    <w:rsid w:val="004D71EE"/>
    <w:rsid w:val="00533D02"/>
    <w:rsid w:val="005626B6"/>
    <w:rsid w:val="006A7658"/>
    <w:rsid w:val="006C793A"/>
    <w:rsid w:val="00745368"/>
    <w:rsid w:val="00783421"/>
    <w:rsid w:val="0078562A"/>
    <w:rsid w:val="00894364"/>
    <w:rsid w:val="009B6651"/>
    <w:rsid w:val="009B727B"/>
    <w:rsid w:val="00A60E3A"/>
    <w:rsid w:val="00B314E5"/>
    <w:rsid w:val="00B937CF"/>
    <w:rsid w:val="00BB7440"/>
    <w:rsid w:val="00C06ABE"/>
    <w:rsid w:val="00C26239"/>
    <w:rsid w:val="00C861D4"/>
    <w:rsid w:val="00D05469"/>
    <w:rsid w:val="00D65302"/>
    <w:rsid w:val="00E9167C"/>
    <w:rsid w:val="00F843A4"/>
    <w:rsid w:val="00FE233E"/>
    <w:rsid w:val="1F8C70A8"/>
    <w:rsid w:val="290449AE"/>
    <w:rsid w:val="32131DE3"/>
    <w:rsid w:val="33B61B1F"/>
    <w:rsid w:val="459937E7"/>
    <w:rsid w:val="4BD26154"/>
    <w:rsid w:val="5A6710A2"/>
    <w:rsid w:val="7A56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TML Preformatted Char"/>
    <w:basedOn w:val="2"/>
    <w:link w:val="4"/>
    <w:semiHidden/>
    <w:uiPriority w:val="99"/>
    <w:rPr>
      <w:rFonts w:ascii="Courier New" w:hAnsi="Courier New" w:eastAsia="Times New Roman" w:cs="Courier New"/>
    </w:rPr>
  </w:style>
  <w:style w:type="character" w:customStyle="1" w:styleId="7">
    <w:name w:val="gnvwddmdn3b"/>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3502</Characters>
  <Lines>307</Lines>
  <Paragraphs>237</Paragraphs>
  <TotalTime>13</TotalTime>
  <ScaleCrop>false</ScaleCrop>
  <LinksUpToDate>false</LinksUpToDate>
  <CharactersWithSpaces>3939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2024-01-03T13:35:00Z</dcterms:created>
  <dc:creator>HP</dc:creator>
  <cp:lastModifiedBy>user</cp:lastModifiedBy>
  <dcterms:modified xsi:type="dcterms:W3CDTF">2024-01-04T11:09:56Z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8804700e-320b-4eaf-a4cd-88440c65a541</vt:lpwstr>
  </property>
  <property fmtid="{D5CDD505-2E9C-101B-9397-08002B2CF9AE}" pid="3" name="KSOProductBuildVer">
    <vt:lpwstr>1033-12.2.0.13359</vt:lpwstr>
  </property>
  <property fmtid="{D5CDD505-2E9C-101B-9397-08002B2CF9AE}" pid="4" name="ICV">
    <vt:lpwstr>67613D14AB344BFAA4241A98F016C9D5_12</vt:lpwstr>
  </property>
</Properties>
</file>