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Data analysis</w:t>
      </w:r>
    </w:p>
    <w:p>
      <w:pPr>
        <w:spacing w:line="48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Diversity indices characterizing</w:t>
      </w:r>
      <w:r>
        <w:rPr>
          <w:rFonts w:hint="default" w:ascii="Times New Roman" w:hAnsi="Times New Roman" w:eastAsia="Times New Roman"/>
          <w:sz w:val="24"/>
          <w:szCs w:val="24"/>
          <w:lang w:val="en-US"/>
        </w:rPr>
        <w:t xml:space="preserve"> the</w:t>
      </w:r>
      <w:r>
        <w:rPr>
          <w:rFonts w:hint="default" w:ascii="Times New Roman" w:hAnsi="Times New Roman" w:eastAsia="Times New Roman"/>
          <w:sz w:val="24"/>
          <w:szCs w:val="24"/>
        </w:rPr>
        <w:t xml:space="preserve"> ants' epigaeic activity, including abundance, richness, evenness, dominance, Simpson’s, and Shannon-Wiener H′, were computed using PAST software (version 4.13). To assess the impact of the waiting period on these indices, a General</w:t>
      </w:r>
      <w:r>
        <w:rPr>
          <w:rFonts w:hint="default" w:ascii="Times New Roman" w:hAnsi="Times New Roman" w:eastAsia="Times New Roman"/>
          <w:sz w:val="24"/>
          <w:szCs w:val="24"/>
          <w:lang w:val="en-US"/>
        </w:rPr>
        <w:t>ized</w:t>
      </w:r>
      <w:r>
        <w:rPr>
          <w:rFonts w:hint="default" w:ascii="Times New Roman" w:hAnsi="Times New Roman" w:eastAsia="Times New Roman"/>
          <w:sz w:val="24"/>
          <w:szCs w:val="24"/>
        </w:rPr>
        <w:t xml:space="preserve"> Linear Model (GLM) with a log link was employed</w:t>
      </w:r>
      <w:r>
        <w:rPr>
          <w:rFonts w:hint="default" w:ascii="Times New Roman" w:hAnsi="Times New Roman" w:eastAsia="Times New Roman"/>
          <w:sz w:val="24"/>
          <w:szCs w:val="24"/>
          <w:lang w:val="en-US"/>
        </w:rPr>
        <w:t xml:space="preserve"> using the glm function of lme4 R package</w:t>
      </w:r>
      <w:r>
        <w:rPr>
          <w:rFonts w:hint="default" w:ascii="Times New Roman" w:hAnsi="Times New Roman" w:eastAsia="Times New Roman"/>
          <w:sz w:val="24"/>
          <w:szCs w:val="24"/>
        </w:rPr>
        <w:t xml:space="preserve">. Abundance was compared across three sampling periods using a Poisson distribution, while other indices were computed with a Gamma distribution. </w:t>
      </w:r>
    </w:p>
    <w:p>
      <w:pPr>
        <w:spacing w:line="480" w:lineRule="auto"/>
        <w:jc w:val="both"/>
        <w:rPr>
          <w:rFonts w:hint="default" w:ascii="Times New Roman" w:hAnsi="Times New Roman" w:eastAsia="Times New Roman" w:cs="Times New Roman"/>
          <w:sz w:val="24"/>
          <w:szCs w:val="24"/>
          <w:lang w:val="en-US"/>
        </w:rPr>
      </w:pPr>
      <w:r>
        <w:rPr>
          <w:rFonts w:hint="default" w:ascii="Times New Roman" w:hAnsi="Times New Roman" w:eastAsia="Times New Roman"/>
          <w:sz w:val="24"/>
          <w:szCs w:val="24"/>
        </w:rPr>
        <w:t>Testing the influence of waiting days on community indices involved a Generalized Linear Model with Mixed Effects (GLMM) for each index.</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For abundance, a Poisson distribution with a log link was applied.</w:t>
      </w:r>
      <w:r>
        <w:rPr>
          <w:rFonts w:hint="default" w:ascii="Times New Roman" w:hAnsi="Times New Roman" w:eastAsia="Times New Roman"/>
          <w:sz w:val="24"/>
          <w:szCs w:val="24"/>
          <w:lang w:val="en-US"/>
        </w:rPr>
        <w:t xml:space="preserve"> Other indices</w:t>
      </w:r>
      <w:r>
        <w:rPr>
          <w:rFonts w:hint="default" w:ascii="Times New Roman" w:hAnsi="Times New Roman" w:eastAsia="Times New Roman"/>
          <w:sz w:val="24"/>
          <w:szCs w:val="24"/>
        </w:rPr>
        <w:t xml:space="preserve"> were</w:t>
      </w:r>
      <w:r>
        <w:rPr>
          <w:rFonts w:hint="default" w:ascii="Times New Roman" w:hAnsi="Times New Roman" w:eastAsia="Times New Roman"/>
          <w:sz w:val="24"/>
          <w:szCs w:val="24"/>
          <w:lang w:val="en-US"/>
        </w:rPr>
        <w:t xml:space="preserve"> likewise</w:t>
      </w:r>
      <w:r>
        <w:rPr>
          <w:rFonts w:hint="default" w:ascii="Times New Roman" w:hAnsi="Times New Roman" w:eastAsia="Times New Roman"/>
          <w:sz w:val="24"/>
          <w:szCs w:val="24"/>
        </w:rPr>
        <w:t xml:space="preserve"> analyzed</w:t>
      </w:r>
      <w:r>
        <w:rPr>
          <w:rFonts w:hint="default" w:ascii="Times New Roman" w:hAnsi="Times New Roman" w:eastAsia="Times New Roman"/>
          <w:sz w:val="24"/>
          <w:szCs w:val="24"/>
          <w:lang w:val="en-US"/>
        </w:rPr>
        <w:t xml:space="preserve">, but </w:t>
      </w:r>
      <w:r>
        <w:rPr>
          <w:rFonts w:hint="default" w:ascii="Times New Roman" w:hAnsi="Times New Roman" w:eastAsia="Times New Roman"/>
          <w:sz w:val="24"/>
          <w:szCs w:val="24"/>
        </w:rPr>
        <w:t xml:space="preserve">using </w:t>
      </w:r>
      <w:r>
        <w:rPr>
          <w:rFonts w:hint="default" w:ascii="Times New Roman" w:hAnsi="Times New Roman" w:eastAsia="Times New Roman"/>
          <w:sz w:val="24"/>
          <w:szCs w:val="24"/>
          <w:lang w:val="en-US"/>
        </w:rPr>
        <w:t xml:space="preserve">a </w:t>
      </w:r>
      <w:r>
        <w:rPr>
          <w:rFonts w:hint="default" w:ascii="Times New Roman" w:hAnsi="Times New Roman" w:eastAsia="Times New Roman"/>
          <w:sz w:val="24"/>
          <w:szCs w:val="24"/>
        </w:rPr>
        <w:t xml:space="preserve">Gamma distribution with the log link. </w:t>
      </w:r>
      <w:r>
        <w:rPr>
          <w:rFonts w:hint="default" w:ascii="Times New Roman" w:hAnsi="Times New Roman" w:eastAsia="Times New Roman"/>
          <w:sz w:val="24"/>
          <w:szCs w:val="24"/>
          <w:lang w:val="en-US"/>
        </w:rPr>
        <w:t xml:space="preserve">However, the </w:t>
      </w:r>
      <w:r>
        <w:rPr>
          <w:rFonts w:hint="default" w:ascii="Times New Roman" w:hAnsi="Times New Roman" w:eastAsia="Times New Roman"/>
          <w:sz w:val="24"/>
          <w:szCs w:val="24"/>
        </w:rPr>
        <w:t xml:space="preserve">Shannon and Simpson's diversity indices encountered computational challenges in the </w:t>
      </w:r>
      <w:r>
        <w:rPr>
          <w:rFonts w:ascii="Times New Roman" w:hAnsi="Times New Roman" w:eastAsia="Times New Roman" w:cs="Times New Roman"/>
          <w:sz w:val="24"/>
          <w:szCs w:val="24"/>
        </w:rPr>
        <w:t xml:space="preserve">glmer </w:t>
      </w:r>
      <w:r>
        <w:rPr>
          <w:rFonts w:hint="default" w:ascii="Times New Roman" w:hAnsi="Times New Roman" w:eastAsia="Times New Roman"/>
          <w:sz w:val="24"/>
          <w:szCs w:val="24"/>
        </w:rPr>
        <w:t>function</w:t>
      </w:r>
      <w:r>
        <w:rPr>
          <w:rFonts w:hint="default" w:ascii="Times New Roman" w:hAnsi="Times New Roman" w:eastAsia="Times New Roman"/>
          <w:sz w:val="24"/>
          <w:szCs w:val="24"/>
          <w:lang w:val="en-US"/>
        </w:rPr>
        <w:t>;</w:t>
      </w:r>
      <w:r>
        <w:rPr>
          <w:rFonts w:hint="default" w:ascii="Times New Roman" w:hAnsi="Times New Roman" w:eastAsia="Times New Roman"/>
          <w:sz w:val="24"/>
          <w:szCs w:val="24"/>
        </w:rPr>
        <w:t xml:space="preserve"> due to three out of 108 observations being non-positive </w:t>
      </w:r>
      <w:r>
        <w:rPr>
          <w:rFonts w:hint="default" w:ascii="Times New Roman" w:hAnsi="Times New Roman" w:eastAsia="Times New Roman"/>
          <w:sz w:val="24"/>
          <w:szCs w:val="24"/>
          <w:lang w:val="en-US"/>
        </w:rPr>
        <w:t>-</w:t>
      </w:r>
      <w:r>
        <w:rPr>
          <w:rFonts w:hint="default" w:ascii="Times New Roman" w:hAnsi="Times New Roman" w:eastAsia="Times New Roman"/>
          <w:sz w:val="24"/>
          <w:szCs w:val="24"/>
        </w:rPr>
        <w:t>Zeros</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 xml:space="preserve">as computed from PAST software. To address this, </w:t>
      </w:r>
      <w:r>
        <w:rPr>
          <w:rFonts w:hint="default" w:ascii="Times New Roman" w:hAnsi="Times New Roman" w:eastAsia="Times New Roman"/>
          <w:sz w:val="24"/>
          <w:szCs w:val="24"/>
          <w:lang w:val="en-US"/>
        </w:rPr>
        <w:t xml:space="preserve">the </w:t>
      </w:r>
      <w:r>
        <w:rPr>
          <w:rFonts w:hint="default" w:ascii="Times New Roman" w:hAnsi="Times New Roman" w:eastAsia="Times New Roman"/>
          <w:sz w:val="24"/>
          <w:szCs w:val="24"/>
        </w:rPr>
        <w:t>Zeros were excluded to facilitate computation in the glmer function.</w:t>
      </w:r>
      <w:r>
        <w:rPr>
          <w:rFonts w:hint="default" w:ascii="Times New Roman" w:hAnsi="Times New Roman" w:eastAsia="Times New Roman"/>
          <w:sz w:val="24"/>
          <w:szCs w:val="24"/>
          <w:lang w:val="en-US"/>
        </w:rPr>
        <w:t xml:space="preserve"> </w:t>
      </w:r>
      <w:r>
        <w:rPr>
          <w:rFonts w:ascii="Times New Roman" w:hAnsi="Times New Roman" w:eastAsia="Times New Roman" w:cs="Times New Roman"/>
          <w:sz w:val="24"/>
          <w:szCs w:val="24"/>
        </w:rPr>
        <w:t xml:space="preserve">We </w:t>
      </w:r>
      <w:r>
        <w:rPr>
          <w:rFonts w:hint="default" w:ascii="Times New Roman" w:hAnsi="Times New Roman" w:eastAsia="Times New Roman" w:cs="Times New Roman"/>
          <w:sz w:val="24"/>
          <w:szCs w:val="24"/>
          <w:lang w:val="en-US"/>
        </w:rPr>
        <w:t xml:space="preserve">ran these GLMMs </w:t>
      </w:r>
      <w:r>
        <w:rPr>
          <w:rFonts w:ascii="Times New Roman" w:hAnsi="Times New Roman" w:eastAsia="Times New Roman" w:cs="Times New Roman"/>
          <w:sz w:val="24"/>
          <w:szCs w:val="24"/>
        </w:rPr>
        <w:t>using days of sampling</w:t>
      </w:r>
      <w:r>
        <w:rPr>
          <w:rFonts w:hint="default" w:ascii="Times New Roman" w:hAnsi="Times New Roman" w:eastAsia="Times New Roman" w:cs="Times New Roman"/>
          <w:sz w:val="24"/>
          <w:szCs w:val="24"/>
          <w:lang w:val="en-US"/>
        </w:rPr>
        <w:t xml:space="preserve"> as the explanatory variable</w:t>
      </w:r>
      <w:r>
        <w:rPr>
          <w:rFonts w:ascii="Times New Roman" w:hAnsi="Times New Roman" w:eastAsia="Times New Roman" w:cs="Times New Roman"/>
          <w:sz w:val="24"/>
          <w:szCs w:val="24"/>
        </w:rPr>
        <w:t>. Since different pitfall traps were used, and multiple collections were made temporarily and spatially, we used Pitfall traps as the random effect. These analyses utilized R version 4.1.3- "One Push-Up”</w:t>
      </w:r>
      <w:r>
        <w:rPr>
          <w:rFonts w:hint="default" w:ascii="Times New Roman" w:hAnsi="Times New Roman" w:eastAsia="Times New Roman" w:cs="Times New Roman"/>
          <w:sz w:val="24"/>
          <w:szCs w:val="24"/>
          <w:lang w:val="en-US"/>
        </w:rPr>
        <w:t>.</w:t>
      </w:r>
    </w:p>
    <w:p>
      <w:pPr>
        <w:spacing w:line="480" w:lineRule="auto"/>
        <w:jc w:val="both"/>
        <w:rPr>
          <w:rFonts w:hint="default" w:ascii="Times New Roman" w:hAnsi="Times New Roman" w:eastAsia="Times New Roman" w:cs="Times New Roman"/>
          <w:sz w:val="24"/>
          <w:szCs w:val="24"/>
          <w:lang w:val="en-US"/>
        </w:rPr>
      </w:pPr>
    </w:p>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RESULT</w:t>
      </w:r>
    </w:p>
    <w:p>
      <w:pPr>
        <w:spacing w:line="480" w:lineRule="auto"/>
        <w:jc w:val="both"/>
        <w:rPr>
          <w:rFonts w:hint="default" w:ascii="Times New Roman" w:hAnsi="Times New Roman" w:eastAsia="Times New Roman"/>
          <w:sz w:val="24"/>
          <w:szCs w:val="24"/>
        </w:rPr>
      </w:pPr>
      <w:r>
        <w:rPr>
          <w:rFonts w:hint="default" w:ascii="Times New Roman" w:hAnsi="Times New Roman" w:eastAsia="Times New Roman"/>
          <w:sz w:val="24"/>
          <w:szCs w:val="24"/>
        </w:rPr>
        <w:t xml:space="preserve">A total of 2,593 individual ants, representing diverse species such as Camponatus vividus, Paltothyreus tarsatus, Tetramorium species, Odontomachus troglodytes, and others, were collected across three sampling periods, with 996 ants in the initial period, 1,140 ants in the second, and 457 ants in the third. The other species are Pheidole welgelegenensis, Nylanderia jaegerskioeldi, Crematogaster species, Monomorium cf. salomonis, Ph. megacephala, Adelomyrmex sp., Anomychomyrma sp., Monomorium species, Austromorium sp., Tetramorium sericeiventre, Loweriella sp., and seven other unidentified morphospecies of ants. </w:t>
      </w:r>
    </w:p>
    <w:p>
      <w:pPr>
        <w:spacing w:line="480" w:lineRule="auto"/>
        <w:jc w:val="both"/>
        <w:rPr>
          <w:rFonts w:ascii="Times New Roman" w:hAnsi="Times New Roman" w:eastAsia="Times New Roman" w:cs="Times New Roman"/>
          <w:sz w:val="24"/>
          <w:szCs w:val="24"/>
        </w:rPr>
      </w:pPr>
      <w:r>
        <w:rPr>
          <w:rFonts w:hint="default" w:ascii="Times New Roman" w:hAnsi="Times New Roman" w:eastAsia="Times New Roman"/>
          <w:sz w:val="24"/>
          <w:szCs w:val="24"/>
        </w:rPr>
        <w:t xml:space="preserve">Ant abundances were relatively high in the first two sampling periods, with medians of 79.5 ±32.68 and 79.5 ±49.27 but decreased to 33.0 ±12.27 in the third period with the longest waiting period (Fig 1a). </w:t>
      </w:r>
      <w:r>
        <w:rPr>
          <w:rFonts w:hint="default" w:ascii="Times New Roman" w:hAnsi="Times New Roman" w:eastAsia="Times New Roman"/>
          <w:sz w:val="24"/>
          <w:szCs w:val="24"/>
          <w:lang w:val="en-US"/>
        </w:rPr>
        <w:t>S</w:t>
      </w:r>
      <w:r>
        <w:rPr>
          <w:rFonts w:hint="default" w:ascii="Times New Roman" w:hAnsi="Times New Roman" w:eastAsia="Times New Roman"/>
          <w:sz w:val="24"/>
          <w:szCs w:val="24"/>
        </w:rPr>
        <w:t>ignificantly (p &gt; 0.05) differences were observed in ant abundance between the first and second sampling period; however, there was significant reduction and stability from the first sampling days of the last period, which had relatively more catches with higher abundance compared to others within the same sampling period (Fig. 1a). Species dominance decreased with increasing waiting period (Fig. 1b) but slightly peaked during the second sampling period (0.56±0.24) (Fig. 1b). However, the last period showed significantly (p &lt; 0.05) lower dominance than the preceding periods. Contrastingly, species evenness generally increased across the three sampling periods (Fig. 1c) as the sampling days progressed, although the second sampling period had a lower index (Fig. 1c). In terms of the sampling periods, Shannon and Simpson’s indices were significantly higher in the last sampling period than the initial two sampling periods (Fig. 1d &amp; 1e).</w:t>
      </w:r>
    </w:p>
    <w:p>
      <w:pPr>
        <w:spacing w:line="480" w:lineRule="auto"/>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drawing>
          <wp:inline distT="0" distB="0" distL="114300" distR="114300">
            <wp:extent cx="5941060" cy="4029075"/>
            <wp:effectExtent l="0" t="0" r="2540" b="9525"/>
            <wp:docPr id="1" name="Picture 1" descr="periods 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eriods sig"/>
                    <pic:cNvPicPr>
                      <a:picLocks noChangeAspect="1"/>
                    </pic:cNvPicPr>
                  </pic:nvPicPr>
                  <pic:blipFill>
                    <a:blip r:embed="rId6"/>
                    <a:stretch>
                      <a:fillRect/>
                    </a:stretch>
                  </pic:blipFill>
                  <pic:spPr>
                    <a:xfrm>
                      <a:off x="0" y="0"/>
                      <a:ext cx="5941060" cy="4029075"/>
                    </a:xfrm>
                    <a:prstGeom prst="rect">
                      <a:avLst/>
                    </a:prstGeom>
                  </pic:spPr>
                </pic:pic>
              </a:graphicData>
            </a:graphic>
          </wp:inline>
        </w:drawing>
      </w:r>
    </w:p>
    <w:p>
      <w:pPr>
        <w:pStyle w:val="5"/>
        <w:jc w:val="both"/>
      </w:pPr>
      <w:r>
        <w:t>F</w:t>
      </w:r>
      <w:r>
        <w:rPr>
          <w:lang w:val="en-US"/>
        </w:rPr>
        <w:t>igure</w:t>
      </w:r>
      <w:r>
        <w:t xml:space="preserve"> 1: </w:t>
      </w:r>
      <w:r>
        <w:rPr>
          <w:lang w:val="en-US"/>
        </w:rPr>
        <w:t>The distribution of epigaeic ants in pitfall traps among three distinct sampling periods as shown for (A) species abundance, (B) dominance, (C) evenness, (D) Shannon H index and (E) Simpson’s index. Any box plots followed by the same letter above them are not significantly (</w:t>
      </w:r>
      <w:r>
        <w:rPr>
          <w:i/>
          <w:iCs/>
          <w:lang w:val="en-US"/>
        </w:rPr>
        <w:t xml:space="preserve">p </w:t>
      </w:r>
      <w:r>
        <w:rPr>
          <w:lang w:val="en-US"/>
        </w:rPr>
        <w:t>&gt; 0.05) differen</w:t>
      </w:r>
      <w:r>
        <w:rPr>
          <w:rFonts w:hint="default"/>
          <w:lang w:val="en-US"/>
        </w:rPr>
        <w:t>t</w:t>
      </w:r>
      <w:r>
        <w:rPr>
          <w:lang w:val="en-US"/>
        </w:rPr>
        <w:t>.</w:t>
      </w:r>
    </w:p>
    <w:p>
      <w:pPr>
        <w:spacing w:line="480" w:lineRule="auto"/>
        <w:jc w:val="both"/>
        <w:rPr>
          <w:rFonts w:ascii="Times New Roman" w:hAnsi="Times New Roman" w:eastAsia="Times New Roman" w:cs="Times New Roman"/>
          <w:sz w:val="24"/>
          <w:szCs w:val="24"/>
        </w:rPr>
      </w:pPr>
    </w:p>
    <w:p>
      <w:pPr>
        <w:spacing w:line="480" w:lineRule="auto"/>
        <w:jc w:val="both"/>
        <w:rPr>
          <w:rFonts w:ascii="Times New Roman" w:hAnsi="Times New Roman" w:eastAsia="Times New Roman" w:cs="Times New Roman"/>
          <w:sz w:val="24"/>
          <w:szCs w:val="24"/>
        </w:rPr>
      </w:pPr>
    </w:p>
    <w:p>
      <w:pPr>
        <w:spacing w:line="480" w:lineRule="auto"/>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drawing>
          <wp:inline distT="0" distB="0" distL="114300" distR="114300">
            <wp:extent cx="5942965" cy="3698240"/>
            <wp:effectExtent l="0" t="0" r="635" b="16510"/>
            <wp:docPr id="2" name="Picture 2" descr="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ays"/>
                    <pic:cNvPicPr>
                      <a:picLocks noChangeAspect="1"/>
                    </pic:cNvPicPr>
                  </pic:nvPicPr>
                  <pic:blipFill>
                    <a:blip r:embed="rId7"/>
                    <a:stretch>
                      <a:fillRect/>
                    </a:stretch>
                  </pic:blipFill>
                  <pic:spPr>
                    <a:xfrm>
                      <a:off x="0" y="0"/>
                      <a:ext cx="5942965" cy="3698240"/>
                    </a:xfrm>
                    <a:prstGeom prst="rect">
                      <a:avLst/>
                    </a:prstGeom>
                  </pic:spPr>
                </pic:pic>
              </a:graphicData>
            </a:graphic>
          </wp:inline>
        </w:drawing>
      </w:r>
    </w:p>
    <w:p>
      <w:pPr>
        <w:pStyle w:val="5"/>
        <w:jc w:val="both"/>
        <w:rPr>
          <w:rFonts w:hint="default"/>
          <w:lang w:val="en-US"/>
        </w:rPr>
      </w:pPr>
      <w:r>
        <w:t>F</w:t>
      </w:r>
      <w:r>
        <w:rPr>
          <w:lang w:val="en-US"/>
        </w:rPr>
        <w:t>igure</w:t>
      </w:r>
      <w:r>
        <w:t xml:space="preserve"> 1: </w:t>
      </w:r>
      <w:r>
        <w:rPr>
          <w:lang w:val="en-US"/>
        </w:rPr>
        <w:t xml:space="preserve">The distribution of epigaeic ants in pitfall traps among three distinct sampling periods as shown for (A) species abundance, (B) dominance, (C) evenness, (D) Shannon H index and (E) Simpson’s index. </w:t>
      </w:r>
      <w:r>
        <w:rPr>
          <w:rFonts w:hint="default"/>
          <w:lang w:val="en-US"/>
        </w:rPr>
        <w:t xml:space="preserve"> Coloured dots represent diversity index of ants in each pitfall trap (Red; pitfall traps 1-12, green: pitfall trap 13-24, blue: pitfall traps 25-36). Dark Smooth Spline line show trend in ant collection (computed in Rs lm looese)</w:t>
      </w:r>
      <w:bookmarkStart w:id="1" w:name="_GoBack"/>
      <w:bookmarkEnd w:id="1"/>
    </w:p>
    <w:p>
      <w:pPr>
        <w:spacing w:line="480" w:lineRule="auto"/>
        <w:jc w:val="both"/>
        <w:rPr>
          <w:rFonts w:ascii="Times New Roman" w:hAnsi="Times New Roman" w:eastAsia="Times New Roman" w:cs="Times New Roman"/>
          <w:sz w:val="24"/>
          <w:szCs w:val="24"/>
        </w:rPr>
      </w:pPr>
    </w:p>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Table 1: GLMM result for day……….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Diversity indices</w:t>
            </w:r>
          </w:p>
        </w:tc>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Regression equation (intercept + slope estimate (x))</w:t>
            </w:r>
          </w:p>
        </w:tc>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Standard error</w:t>
            </w:r>
          </w:p>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(intercept + slope estimate (x))</w:t>
            </w:r>
          </w:p>
        </w:tc>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Z/t value</w:t>
            </w:r>
          </w:p>
        </w:tc>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 value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Abundance</w:t>
            </w:r>
          </w:p>
        </w:tc>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4.7102 </w:t>
            </w:r>
          </w:p>
        </w:tc>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0.1890   </w:t>
            </w:r>
          </w:p>
        </w:tc>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24.93</w:t>
            </w:r>
          </w:p>
        </w:tc>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pPr>
              <w:spacing w:after="0" w:line="480" w:lineRule="auto"/>
              <w:jc w:val="both"/>
              <w:rPr>
                <w:rFonts w:ascii="Times New Roman" w:hAnsi="Times New Roman" w:eastAsia="Times New Roman" w:cs="Times New Roman"/>
                <w:sz w:val="24"/>
                <w:szCs w:val="24"/>
              </w:rPr>
            </w:pPr>
          </w:p>
        </w:tc>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-0.2640</w:t>
            </w:r>
          </w:p>
        </w:tc>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0.0238</w:t>
            </w:r>
          </w:p>
        </w:tc>
        <w:tc>
          <w:tcPr>
            <w:tcW w:w="1870" w:type="dxa"/>
          </w:tcPr>
          <w:p>
            <w:pPr>
              <w:spacing w:after="0" w:line="480" w:lineRule="auto"/>
              <w:jc w:val="both"/>
              <w:rPr>
                <w:rFonts w:ascii="Times New Roman" w:hAnsi="Times New Roman" w:eastAsia="Times New Roman" w:cs="Times New Roman"/>
                <w:sz w:val="24"/>
                <w:szCs w:val="24"/>
              </w:rPr>
            </w:pPr>
            <w:bookmarkStart w:id="0" w:name="_Hlk155192849"/>
            <w:r>
              <w:rPr>
                <w:rFonts w:ascii="Times New Roman" w:hAnsi="Times New Roman" w:eastAsia="Times New Roman" w:cs="Times New Roman"/>
                <w:sz w:val="24"/>
                <w:szCs w:val="24"/>
              </w:rPr>
              <w:t xml:space="preserve">-11.09   </w:t>
            </w:r>
            <w:bookmarkEnd w:id="0"/>
          </w:p>
        </w:tc>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Evenness </w:t>
            </w:r>
          </w:p>
        </w:tc>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-0.54106</w:t>
            </w:r>
          </w:p>
        </w:tc>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0.11260</w:t>
            </w:r>
          </w:p>
        </w:tc>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-4.805</w:t>
            </w:r>
          </w:p>
        </w:tc>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pPr>
              <w:spacing w:after="0" w:line="480" w:lineRule="auto"/>
              <w:jc w:val="both"/>
              <w:rPr>
                <w:rFonts w:ascii="Times New Roman" w:hAnsi="Times New Roman" w:eastAsia="Times New Roman" w:cs="Times New Roman"/>
                <w:sz w:val="24"/>
                <w:szCs w:val="24"/>
              </w:rPr>
            </w:pPr>
          </w:p>
        </w:tc>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0.02969</w:t>
            </w:r>
          </w:p>
        </w:tc>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0.01537</w:t>
            </w:r>
          </w:p>
        </w:tc>
        <w:tc>
          <w:tcPr>
            <w:tcW w:w="1870" w:type="dxa"/>
          </w:tcPr>
          <w:p>
            <w:pPr>
              <w:spacing w:after="0"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1.932</w:t>
            </w:r>
          </w:p>
        </w:tc>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&gt;0.05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Dominance</w:t>
            </w:r>
          </w:p>
        </w:tc>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-0.28506</w:t>
            </w:r>
          </w:p>
        </w:tc>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0.15590</w:t>
            </w:r>
          </w:p>
        </w:tc>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-1.828</w:t>
            </w:r>
          </w:p>
        </w:tc>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pPr>
              <w:spacing w:after="0" w:line="480" w:lineRule="auto"/>
              <w:jc w:val="both"/>
              <w:rPr>
                <w:rFonts w:ascii="Times New Roman" w:hAnsi="Times New Roman" w:eastAsia="Times New Roman" w:cs="Times New Roman"/>
                <w:sz w:val="24"/>
                <w:szCs w:val="24"/>
              </w:rPr>
            </w:pPr>
          </w:p>
        </w:tc>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-0.06016</w:t>
            </w:r>
          </w:p>
        </w:tc>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0.02186</w:t>
            </w:r>
          </w:p>
        </w:tc>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-2.752</w:t>
            </w:r>
          </w:p>
        </w:tc>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Simpson_1.D</w:t>
            </w:r>
          </w:p>
        </w:tc>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-1.14559</w:t>
            </w:r>
          </w:p>
        </w:tc>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0.19444</w:t>
            </w:r>
          </w:p>
        </w:tc>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-5.892</w:t>
            </w:r>
          </w:p>
        </w:tc>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pPr>
              <w:spacing w:after="0" w:line="480" w:lineRule="auto"/>
              <w:jc w:val="both"/>
              <w:rPr>
                <w:rFonts w:ascii="Times New Roman" w:hAnsi="Times New Roman" w:eastAsia="Times New Roman" w:cs="Times New Roman"/>
                <w:sz w:val="24"/>
                <w:szCs w:val="24"/>
              </w:rPr>
            </w:pPr>
          </w:p>
        </w:tc>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0.05483</w:t>
            </w:r>
          </w:p>
        </w:tc>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0.02604</w:t>
            </w:r>
          </w:p>
        </w:tc>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2.106</w:t>
            </w:r>
          </w:p>
        </w:tc>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Shannon_H</w:t>
            </w:r>
          </w:p>
        </w:tc>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-0.59283</w:t>
            </w:r>
          </w:p>
        </w:tc>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0.17691</w:t>
            </w:r>
          </w:p>
        </w:tc>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-3.351</w:t>
            </w:r>
          </w:p>
        </w:tc>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 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pPr>
              <w:spacing w:after="0" w:line="480" w:lineRule="auto"/>
              <w:jc w:val="both"/>
              <w:rPr>
                <w:rFonts w:ascii="Times New Roman" w:hAnsi="Times New Roman" w:eastAsia="Times New Roman" w:cs="Times New Roman"/>
                <w:sz w:val="24"/>
                <w:szCs w:val="24"/>
              </w:rPr>
            </w:pPr>
          </w:p>
        </w:tc>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0.06355</w:t>
            </w:r>
          </w:p>
        </w:tc>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0.02369</w:t>
            </w:r>
          </w:p>
        </w:tc>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2.683</w:t>
            </w:r>
          </w:p>
        </w:tc>
        <w:tc>
          <w:tcPr>
            <w:tcW w:w="1870"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&lt;0.01</w:t>
            </w:r>
          </w:p>
        </w:tc>
      </w:tr>
    </w:tbl>
    <w:p>
      <w:pPr>
        <w:spacing w:line="480" w:lineRule="auto"/>
        <w:jc w:val="both"/>
        <w:rPr>
          <w:rFonts w:ascii="Times New Roman" w:hAnsi="Times New Roman" w:eastAsia="Times New Roman" w:cs="Times New Roman"/>
          <w:sz w:val="24"/>
          <w:szCs w:val="24"/>
        </w:rPr>
      </w:pPr>
    </w:p>
    <w:p>
      <w:pPr>
        <w:spacing w:line="480" w:lineRule="auto"/>
        <w:jc w:val="both"/>
        <w:rPr>
          <w:rFonts w:ascii="Times New Roman" w:hAnsi="Times New Roman" w:eastAsia="Times New Roman" w:cs="Times New Roman"/>
          <w:sz w:val="24"/>
          <w:szCs w:val="24"/>
        </w:rPr>
      </w:pPr>
    </w:p>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Results relevant to our research hypothesis were summarized in table… We detected a significant negative relationship between ant abundance and waiting day intervals f (Z= -11.09; p &lt; 0.001). There was significant outlier at the beginning of the second period ant collection, which stepped down as collection continued (fig. ). Also, dominance reduced significantly with increase in waiting days (t= -1.828; p&lt; 0.01). Evenness did not differ significantly with time, however Simpson  and Shannon diversity estimates increased significantly with increasing waiting period. </w:t>
      </w:r>
    </w:p>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Table 2: GLM table for Periods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5"/>
        <w:gridCol w:w="1595"/>
        <w:gridCol w:w="1595"/>
        <w:gridCol w:w="1595"/>
        <w:gridCol w:w="1595"/>
        <w:gridCol w:w="15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gridSpan w:val="2"/>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Diversity indices</w:t>
            </w:r>
          </w:p>
        </w:tc>
        <w:tc>
          <w:tcPr>
            <w:tcW w:w="1595"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Regression equation (intercept + slope estimate (x))</w:t>
            </w:r>
          </w:p>
        </w:tc>
        <w:tc>
          <w:tcPr>
            <w:tcW w:w="1595"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Standard error</w:t>
            </w:r>
          </w:p>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(intercept + slope estimate (x))</w:t>
            </w:r>
          </w:p>
        </w:tc>
        <w:tc>
          <w:tcPr>
            <w:tcW w:w="1595"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Z/t value</w:t>
            </w:r>
          </w:p>
        </w:tc>
        <w:tc>
          <w:tcPr>
            <w:tcW w:w="1596"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 value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Abundance</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Intercept</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3.32023</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0.03169</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 xml:space="preserve">104.785 </w:t>
            </w:r>
          </w:p>
        </w:tc>
        <w:tc>
          <w:tcPr>
            <w:tcW w:w="1596"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Pr>
          <w:p>
            <w:pPr>
              <w:spacing w:line="480" w:lineRule="auto"/>
              <w:jc w:val="both"/>
              <w:rPr>
                <w:rFonts w:ascii="Times New Roman" w:hAnsi="Times New Roman" w:eastAsia="Times New Roman" w:cs="Times New Roman"/>
                <w:sz w:val="24"/>
                <w:szCs w:val="24"/>
              </w:rPr>
            </w:pP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Period 2</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0.12623</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0.04346</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2.904</w:t>
            </w:r>
          </w:p>
        </w:tc>
        <w:tc>
          <w:tcPr>
            <w:tcW w:w="1596"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Pr>
          <w:p>
            <w:pPr>
              <w:spacing w:line="480" w:lineRule="auto"/>
              <w:jc w:val="both"/>
              <w:rPr>
                <w:rFonts w:ascii="Times New Roman" w:hAnsi="Times New Roman" w:eastAsia="Times New Roman" w:cs="Times New Roman"/>
                <w:sz w:val="24"/>
                <w:szCs w:val="24"/>
              </w:rPr>
            </w:pP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Period 3</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-0.89003</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 xml:space="preserve">0.05873 </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-15.155</w:t>
            </w:r>
          </w:p>
        </w:tc>
        <w:tc>
          <w:tcPr>
            <w:tcW w:w="1596"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Evenness </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Intercept</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-0.29593</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 xml:space="preserve">0.03879 </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-7.630</w:t>
            </w:r>
          </w:p>
        </w:tc>
        <w:tc>
          <w:tcPr>
            <w:tcW w:w="1596"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Pr>
          <w:p>
            <w:pPr>
              <w:spacing w:line="480" w:lineRule="auto"/>
              <w:jc w:val="both"/>
              <w:rPr>
                <w:rFonts w:ascii="Times New Roman" w:hAnsi="Times New Roman" w:eastAsia="Times New Roman" w:cs="Times New Roman"/>
                <w:sz w:val="24"/>
                <w:szCs w:val="24"/>
              </w:rPr>
            </w:pP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Period 2</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 xml:space="preserve">-0.15669 </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0.05485</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-2.856</w:t>
            </w:r>
          </w:p>
        </w:tc>
        <w:tc>
          <w:tcPr>
            <w:tcW w:w="1596"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Pr>
          <w:p>
            <w:pPr>
              <w:spacing w:line="480" w:lineRule="auto"/>
              <w:jc w:val="both"/>
              <w:rPr>
                <w:rFonts w:ascii="Times New Roman" w:hAnsi="Times New Roman" w:eastAsia="Times New Roman" w:cs="Times New Roman"/>
                <w:sz w:val="24"/>
                <w:szCs w:val="24"/>
              </w:rPr>
            </w:pP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Period 3</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 xml:space="preserve">0.05466 </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0.05485</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0.996</w:t>
            </w:r>
          </w:p>
        </w:tc>
        <w:tc>
          <w:tcPr>
            <w:tcW w:w="1596"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&gt;0.05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Dominance</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Intercept</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 xml:space="preserve">-0.58380 </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0.06535</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 xml:space="preserve">-8.933 </w:t>
            </w:r>
          </w:p>
        </w:tc>
        <w:tc>
          <w:tcPr>
            <w:tcW w:w="1596"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Pr>
          <w:p>
            <w:pPr>
              <w:spacing w:line="480" w:lineRule="auto"/>
              <w:jc w:val="both"/>
              <w:rPr>
                <w:rFonts w:ascii="Times New Roman" w:hAnsi="Times New Roman" w:eastAsia="Times New Roman" w:cs="Times New Roman"/>
                <w:sz w:val="24"/>
                <w:szCs w:val="24"/>
              </w:rPr>
            </w:pP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Period 2</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 xml:space="preserve">-0.03244 </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0.09242</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-0.351</w:t>
            </w:r>
          </w:p>
        </w:tc>
        <w:tc>
          <w:tcPr>
            <w:tcW w:w="1596"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&gt;0.05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Pr>
          <w:p>
            <w:pPr>
              <w:spacing w:line="480" w:lineRule="auto"/>
              <w:jc w:val="both"/>
              <w:rPr>
                <w:rFonts w:ascii="Times New Roman" w:hAnsi="Times New Roman" w:eastAsia="Times New Roman" w:cs="Times New Roman"/>
                <w:sz w:val="24"/>
                <w:szCs w:val="24"/>
              </w:rPr>
            </w:pP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Period 3</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-0.13234</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0.09242</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 xml:space="preserve">-1.432   </w:t>
            </w:r>
          </w:p>
        </w:tc>
        <w:tc>
          <w:tcPr>
            <w:tcW w:w="1596"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&gt;0.05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Simpson_1.D</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Intercept</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-0.78774</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0.06676</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-11.800</w:t>
            </w:r>
          </w:p>
        </w:tc>
        <w:tc>
          <w:tcPr>
            <w:tcW w:w="1596"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Pr>
          <w:p>
            <w:pPr>
              <w:spacing w:line="480" w:lineRule="auto"/>
              <w:jc w:val="both"/>
              <w:rPr>
                <w:rFonts w:ascii="Times New Roman" w:hAnsi="Times New Roman" w:eastAsia="Times New Roman" w:cs="Times New Roman"/>
                <w:sz w:val="24"/>
                <w:szCs w:val="24"/>
              </w:rPr>
            </w:pP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Period 2</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0.01128</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 xml:space="preserve">0.09375 </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 xml:space="preserve">0.120 </w:t>
            </w:r>
          </w:p>
        </w:tc>
        <w:tc>
          <w:tcPr>
            <w:tcW w:w="1596"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&gt;0.05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Pr>
          <w:p>
            <w:pPr>
              <w:spacing w:line="480" w:lineRule="auto"/>
              <w:jc w:val="both"/>
              <w:rPr>
                <w:rFonts w:ascii="Times New Roman" w:hAnsi="Times New Roman" w:eastAsia="Times New Roman" w:cs="Times New Roman"/>
                <w:sz w:val="24"/>
                <w:szCs w:val="24"/>
              </w:rPr>
            </w:pP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Period 3</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 xml:space="preserve">0.17423  </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0.09510</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1.832</w:t>
            </w:r>
          </w:p>
        </w:tc>
        <w:tc>
          <w:tcPr>
            <w:tcW w:w="1596"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&gt;0.05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Shannon_H</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Intercept</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 xml:space="preserve">-0.26257 </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 xml:space="preserve">0.06697 </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-3.921</w:t>
            </w:r>
          </w:p>
        </w:tc>
        <w:tc>
          <w:tcPr>
            <w:tcW w:w="1596"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Pr>
          <w:p>
            <w:pPr>
              <w:spacing w:line="480" w:lineRule="auto"/>
              <w:jc w:val="both"/>
              <w:rPr>
                <w:rFonts w:ascii="Times New Roman" w:hAnsi="Times New Roman" w:eastAsia="Times New Roman" w:cs="Times New Roman"/>
                <w:sz w:val="24"/>
                <w:szCs w:val="24"/>
              </w:rPr>
            </w:pP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Period 2</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 xml:space="preserve">0.17660 </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0.09405</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1.878</w:t>
            </w:r>
          </w:p>
        </w:tc>
        <w:tc>
          <w:tcPr>
            <w:tcW w:w="1596"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&gt;0.05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Pr>
          <w:p>
            <w:pPr>
              <w:spacing w:line="480" w:lineRule="auto"/>
              <w:jc w:val="both"/>
              <w:rPr>
                <w:rFonts w:ascii="Times New Roman" w:hAnsi="Times New Roman" w:eastAsia="Times New Roman" w:cs="Times New Roman"/>
                <w:sz w:val="24"/>
                <w:szCs w:val="24"/>
              </w:rPr>
            </w:pP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Period 3</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 xml:space="preserve">0.27447 </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 xml:space="preserve">0.09540 </w:t>
            </w:r>
          </w:p>
        </w:tc>
        <w:tc>
          <w:tcPr>
            <w:tcW w:w="159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sz w:val="24"/>
                <w:szCs w:val="24"/>
              </w:rPr>
              <w:t>2.877</w:t>
            </w:r>
          </w:p>
        </w:tc>
        <w:tc>
          <w:tcPr>
            <w:tcW w:w="1596"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&lt;0.01</w:t>
            </w:r>
          </w:p>
        </w:tc>
      </w:tr>
    </w:tbl>
    <w:p>
      <w:pPr>
        <w:spacing w:line="480" w:lineRule="auto"/>
        <w:jc w:val="both"/>
        <w:rPr>
          <w:rFonts w:ascii="Times New Roman" w:hAnsi="Times New Roman" w:eastAsia="Times New Roman" w:cs="Times New Roman"/>
          <w:sz w:val="24"/>
          <w:szCs w:val="24"/>
        </w:rPr>
      </w:pPr>
    </w:p>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Table 2: GLM table for Periods correct (without releveling)</w:t>
      </w:r>
    </w:p>
    <w:p>
      <w:pPr>
        <w:spacing w:line="480" w:lineRule="auto"/>
        <w:jc w:val="both"/>
        <w:rPr>
          <w:rFonts w:ascii="Times New Roman" w:hAnsi="Times New Roman" w:eastAsia="Times New Roman" w:cs="Times New Roman"/>
          <w:sz w:val="24"/>
          <w:szCs w:val="24"/>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0"/>
        <w:gridCol w:w="1551"/>
        <w:gridCol w:w="1569"/>
        <w:gridCol w:w="1557"/>
        <w:gridCol w:w="1545"/>
        <w:gridCol w:w="15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1" w:type="dxa"/>
            <w:gridSpan w:val="2"/>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Diversity indices</w:t>
            </w:r>
          </w:p>
        </w:tc>
        <w:tc>
          <w:tcPr>
            <w:tcW w:w="1569"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Regression equation (intercept + slope estimate (x))</w:t>
            </w:r>
          </w:p>
        </w:tc>
        <w:tc>
          <w:tcPr>
            <w:tcW w:w="1557"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Standard error</w:t>
            </w:r>
          </w:p>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(intercept + slope estimate (x))</w:t>
            </w:r>
          </w:p>
        </w:tc>
        <w:tc>
          <w:tcPr>
            <w:tcW w:w="1545"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Z/t value</w:t>
            </w:r>
          </w:p>
        </w:tc>
        <w:tc>
          <w:tcPr>
            <w:tcW w:w="1538" w:type="dxa"/>
          </w:tcPr>
          <w:p>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 value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0"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Abundance</w:t>
            </w:r>
          </w:p>
        </w:tc>
        <w:tc>
          <w:tcPr>
            <w:tcW w:w="1551"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Intercept</w:t>
            </w:r>
          </w:p>
        </w:tc>
        <w:tc>
          <w:tcPr>
            <w:tcW w:w="1569"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4.41884</w:t>
            </w:r>
          </w:p>
        </w:tc>
        <w:tc>
          <w:tcPr>
            <w:tcW w:w="1557"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0.03169</w:t>
            </w:r>
          </w:p>
        </w:tc>
        <w:tc>
          <w:tcPr>
            <w:tcW w:w="154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139.457</w:t>
            </w:r>
          </w:p>
        </w:tc>
        <w:tc>
          <w:tcPr>
            <w:tcW w:w="1538"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0" w:type="dxa"/>
          </w:tcPr>
          <w:p>
            <w:pPr>
              <w:spacing w:line="480" w:lineRule="auto"/>
              <w:jc w:val="both"/>
              <w:rPr>
                <w:rFonts w:ascii="Times New Roman" w:hAnsi="Times New Roman" w:eastAsia="Times New Roman" w:cs="Times New Roman"/>
                <w:sz w:val="24"/>
                <w:szCs w:val="24"/>
              </w:rPr>
            </w:pPr>
          </w:p>
        </w:tc>
        <w:tc>
          <w:tcPr>
            <w:tcW w:w="1551"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Period 2</w:t>
            </w:r>
          </w:p>
        </w:tc>
        <w:tc>
          <w:tcPr>
            <w:tcW w:w="1569" w:type="dxa"/>
          </w:tcPr>
          <w:p>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0.12534</w:t>
            </w:r>
          </w:p>
        </w:tc>
        <w:tc>
          <w:tcPr>
            <w:tcW w:w="1557" w:type="dxa"/>
          </w:tcPr>
          <w:p>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0.04347</w:t>
            </w:r>
          </w:p>
        </w:tc>
        <w:tc>
          <w:tcPr>
            <w:tcW w:w="154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2.883</w:t>
            </w:r>
          </w:p>
        </w:tc>
        <w:tc>
          <w:tcPr>
            <w:tcW w:w="1538"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0" w:type="dxa"/>
          </w:tcPr>
          <w:p>
            <w:pPr>
              <w:spacing w:line="480" w:lineRule="auto"/>
              <w:jc w:val="both"/>
              <w:rPr>
                <w:rFonts w:ascii="Times New Roman" w:hAnsi="Times New Roman" w:eastAsia="Times New Roman" w:cs="Times New Roman"/>
                <w:sz w:val="24"/>
                <w:szCs w:val="24"/>
              </w:rPr>
            </w:pPr>
          </w:p>
        </w:tc>
        <w:tc>
          <w:tcPr>
            <w:tcW w:w="1551"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Period 3</w:t>
            </w:r>
          </w:p>
        </w:tc>
        <w:tc>
          <w:tcPr>
            <w:tcW w:w="1569"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-0.90481</w:t>
            </w:r>
          </w:p>
        </w:tc>
        <w:tc>
          <w:tcPr>
            <w:tcW w:w="1557"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0.05904</w:t>
            </w:r>
          </w:p>
        </w:tc>
        <w:tc>
          <w:tcPr>
            <w:tcW w:w="154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-15.326</w:t>
            </w:r>
          </w:p>
        </w:tc>
        <w:tc>
          <w:tcPr>
            <w:tcW w:w="1538"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0"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Evenness </w:t>
            </w:r>
          </w:p>
        </w:tc>
        <w:tc>
          <w:tcPr>
            <w:tcW w:w="1551"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Intercept</w:t>
            </w:r>
          </w:p>
        </w:tc>
        <w:tc>
          <w:tcPr>
            <w:tcW w:w="1569"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-0.50629</w:t>
            </w:r>
          </w:p>
        </w:tc>
        <w:tc>
          <w:tcPr>
            <w:tcW w:w="1557"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0.08087</w:t>
            </w:r>
          </w:p>
        </w:tc>
        <w:tc>
          <w:tcPr>
            <w:tcW w:w="1545" w:type="dxa"/>
          </w:tcPr>
          <w:p>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-6.261</w:t>
            </w:r>
          </w:p>
        </w:tc>
        <w:tc>
          <w:tcPr>
            <w:tcW w:w="1538"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0" w:type="dxa"/>
          </w:tcPr>
          <w:p>
            <w:pPr>
              <w:spacing w:line="480" w:lineRule="auto"/>
              <w:jc w:val="both"/>
              <w:rPr>
                <w:rFonts w:ascii="Times New Roman" w:hAnsi="Times New Roman" w:eastAsia="Times New Roman" w:cs="Times New Roman"/>
                <w:sz w:val="24"/>
                <w:szCs w:val="24"/>
              </w:rPr>
            </w:pPr>
          </w:p>
        </w:tc>
        <w:tc>
          <w:tcPr>
            <w:tcW w:w="1551"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Period 2</w:t>
            </w:r>
          </w:p>
        </w:tc>
        <w:tc>
          <w:tcPr>
            <w:tcW w:w="1569"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-0.26483</w:t>
            </w:r>
          </w:p>
        </w:tc>
        <w:tc>
          <w:tcPr>
            <w:tcW w:w="1557"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0.11437</w:t>
            </w:r>
          </w:p>
        </w:tc>
        <w:tc>
          <w:tcPr>
            <w:tcW w:w="154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-2.316</w:t>
            </w:r>
          </w:p>
        </w:tc>
        <w:tc>
          <w:tcPr>
            <w:tcW w:w="1538"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0" w:type="dxa"/>
          </w:tcPr>
          <w:p>
            <w:pPr>
              <w:spacing w:line="480" w:lineRule="auto"/>
              <w:jc w:val="both"/>
              <w:rPr>
                <w:rFonts w:ascii="Times New Roman" w:hAnsi="Times New Roman" w:eastAsia="Times New Roman" w:cs="Times New Roman"/>
                <w:sz w:val="24"/>
                <w:szCs w:val="24"/>
              </w:rPr>
            </w:pPr>
          </w:p>
        </w:tc>
        <w:tc>
          <w:tcPr>
            <w:tcW w:w="1551"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Period 3</w:t>
            </w:r>
          </w:p>
        </w:tc>
        <w:tc>
          <w:tcPr>
            <w:tcW w:w="1569"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0.04415</w:t>
            </w:r>
          </w:p>
        </w:tc>
        <w:tc>
          <w:tcPr>
            <w:tcW w:w="1557"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0.11437</w:t>
            </w:r>
          </w:p>
        </w:tc>
        <w:tc>
          <w:tcPr>
            <w:tcW w:w="154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0.386</w:t>
            </w:r>
          </w:p>
        </w:tc>
        <w:tc>
          <w:tcPr>
            <w:tcW w:w="1538"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&gt;0.05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0"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Dominance</w:t>
            </w:r>
          </w:p>
        </w:tc>
        <w:tc>
          <w:tcPr>
            <w:tcW w:w="1551"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Intercept</w:t>
            </w:r>
          </w:p>
        </w:tc>
        <w:tc>
          <w:tcPr>
            <w:tcW w:w="1569"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-0.74299</w:t>
            </w:r>
          </w:p>
        </w:tc>
        <w:tc>
          <w:tcPr>
            <w:tcW w:w="1557"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0.08796</w:t>
            </w:r>
          </w:p>
        </w:tc>
        <w:tc>
          <w:tcPr>
            <w:tcW w:w="1545" w:type="dxa"/>
          </w:tcPr>
          <w:p>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-8.447</w:t>
            </w:r>
          </w:p>
        </w:tc>
        <w:tc>
          <w:tcPr>
            <w:tcW w:w="1538"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0" w:type="dxa"/>
          </w:tcPr>
          <w:p>
            <w:pPr>
              <w:spacing w:line="480" w:lineRule="auto"/>
              <w:jc w:val="both"/>
              <w:rPr>
                <w:rFonts w:ascii="Times New Roman" w:hAnsi="Times New Roman" w:eastAsia="Times New Roman" w:cs="Times New Roman"/>
                <w:sz w:val="24"/>
                <w:szCs w:val="24"/>
              </w:rPr>
            </w:pPr>
          </w:p>
        </w:tc>
        <w:tc>
          <w:tcPr>
            <w:tcW w:w="1551"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Period 2</w:t>
            </w:r>
          </w:p>
        </w:tc>
        <w:tc>
          <w:tcPr>
            <w:tcW w:w="1569"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0.13760</w:t>
            </w:r>
          </w:p>
        </w:tc>
        <w:tc>
          <w:tcPr>
            <w:tcW w:w="1557"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0.12439</w:t>
            </w:r>
          </w:p>
        </w:tc>
        <w:tc>
          <w:tcPr>
            <w:tcW w:w="154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1.106</w:t>
            </w:r>
          </w:p>
        </w:tc>
        <w:tc>
          <w:tcPr>
            <w:tcW w:w="1538"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&gt;0.05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0" w:type="dxa"/>
          </w:tcPr>
          <w:p>
            <w:pPr>
              <w:spacing w:line="480" w:lineRule="auto"/>
              <w:jc w:val="both"/>
              <w:rPr>
                <w:rFonts w:ascii="Times New Roman" w:hAnsi="Times New Roman" w:eastAsia="Times New Roman" w:cs="Times New Roman"/>
                <w:sz w:val="24"/>
                <w:szCs w:val="24"/>
              </w:rPr>
            </w:pPr>
          </w:p>
        </w:tc>
        <w:tc>
          <w:tcPr>
            <w:tcW w:w="1551"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Period 3</w:t>
            </w:r>
          </w:p>
        </w:tc>
        <w:tc>
          <w:tcPr>
            <w:tcW w:w="1569"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-0.34163</w:t>
            </w:r>
          </w:p>
        </w:tc>
        <w:tc>
          <w:tcPr>
            <w:tcW w:w="1557"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0.12439</w:t>
            </w:r>
          </w:p>
        </w:tc>
        <w:tc>
          <w:tcPr>
            <w:tcW w:w="154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-2.746</w:t>
            </w:r>
          </w:p>
        </w:tc>
        <w:tc>
          <w:tcPr>
            <w:tcW w:w="1538"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0"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Simpson_1.D</w:t>
            </w:r>
          </w:p>
        </w:tc>
        <w:tc>
          <w:tcPr>
            <w:tcW w:w="1551"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Intercept</w:t>
            </w:r>
          </w:p>
        </w:tc>
        <w:tc>
          <w:tcPr>
            <w:tcW w:w="1569"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-0.64568</w:t>
            </w:r>
          </w:p>
        </w:tc>
        <w:tc>
          <w:tcPr>
            <w:tcW w:w="1557" w:type="dxa"/>
          </w:tcPr>
          <w:p>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0.09351</w:t>
            </w:r>
          </w:p>
        </w:tc>
        <w:tc>
          <w:tcPr>
            <w:tcW w:w="1545" w:type="dxa"/>
          </w:tcPr>
          <w:p>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-6.905</w:t>
            </w:r>
          </w:p>
        </w:tc>
        <w:tc>
          <w:tcPr>
            <w:tcW w:w="1538"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0" w:type="dxa"/>
          </w:tcPr>
          <w:p>
            <w:pPr>
              <w:spacing w:line="480" w:lineRule="auto"/>
              <w:jc w:val="both"/>
              <w:rPr>
                <w:rFonts w:ascii="Times New Roman" w:hAnsi="Times New Roman" w:eastAsia="Times New Roman" w:cs="Times New Roman"/>
                <w:sz w:val="24"/>
                <w:szCs w:val="24"/>
              </w:rPr>
            </w:pPr>
          </w:p>
        </w:tc>
        <w:tc>
          <w:tcPr>
            <w:tcW w:w="1551"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Period 2</w:t>
            </w:r>
          </w:p>
        </w:tc>
        <w:tc>
          <w:tcPr>
            <w:tcW w:w="1569"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-0.14369</w:t>
            </w:r>
          </w:p>
        </w:tc>
        <w:tc>
          <w:tcPr>
            <w:tcW w:w="1557"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0.13224</w:t>
            </w:r>
          </w:p>
        </w:tc>
        <w:tc>
          <w:tcPr>
            <w:tcW w:w="154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-1.087</w:t>
            </w:r>
          </w:p>
        </w:tc>
        <w:tc>
          <w:tcPr>
            <w:tcW w:w="1538"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&gt;0.05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0" w:type="dxa"/>
          </w:tcPr>
          <w:p>
            <w:pPr>
              <w:spacing w:line="480" w:lineRule="auto"/>
              <w:jc w:val="both"/>
              <w:rPr>
                <w:rFonts w:ascii="Times New Roman" w:hAnsi="Times New Roman" w:eastAsia="Times New Roman" w:cs="Times New Roman"/>
                <w:sz w:val="24"/>
                <w:szCs w:val="24"/>
              </w:rPr>
            </w:pPr>
          </w:p>
        </w:tc>
        <w:tc>
          <w:tcPr>
            <w:tcW w:w="1551"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Period 3</w:t>
            </w:r>
          </w:p>
        </w:tc>
        <w:tc>
          <w:tcPr>
            <w:tcW w:w="1569" w:type="dxa"/>
          </w:tcPr>
          <w:p>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0.23314</w:t>
            </w:r>
          </w:p>
        </w:tc>
        <w:tc>
          <w:tcPr>
            <w:tcW w:w="1557"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0.13224</w:t>
            </w:r>
          </w:p>
        </w:tc>
        <w:tc>
          <w:tcPr>
            <w:tcW w:w="154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1.763</w:t>
            </w:r>
          </w:p>
        </w:tc>
        <w:tc>
          <w:tcPr>
            <w:tcW w:w="1538"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&gt;0.05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0"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Shannon_H</w:t>
            </w:r>
          </w:p>
        </w:tc>
        <w:tc>
          <w:tcPr>
            <w:tcW w:w="1551"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Intercept</w:t>
            </w:r>
          </w:p>
        </w:tc>
        <w:tc>
          <w:tcPr>
            <w:tcW w:w="1569" w:type="dxa"/>
          </w:tcPr>
          <w:p>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-0.09426</w:t>
            </w:r>
          </w:p>
        </w:tc>
        <w:tc>
          <w:tcPr>
            <w:tcW w:w="1557"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0.09276</w:t>
            </w:r>
          </w:p>
        </w:tc>
        <w:tc>
          <w:tcPr>
            <w:tcW w:w="154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-1.016</w:t>
            </w:r>
          </w:p>
        </w:tc>
        <w:tc>
          <w:tcPr>
            <w:tcW w:w="1538"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&gt;0.05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0" w:type="dxa"/>
          </w:tcPr>
          <w:p>
            <w:pPr>
              <w:spacing w:line="480" w:lineRule="auto"/>
              <w:jc w:val="both"/>
              <w:rPr>
                <w:rFonts w:ascii="Times New Roman" w:hAnsi="Times New Roman" w:eastAsia="Times New Roman" w:cs="Times New Roman"/>
                <w:sz w:val="24"/>
                <w:szCs w:val="24"/>
              </w:rPr>
            </w:pPr>
          </w:p>
        </w:tc>
        <w:tc>
          <w:tcPr>
            <w:tcW w:w="1551"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Period 2</w:t>
            </w:r>
          </w:p>
        </w:tc>
        <w:tc>
          <w:tcPr>
            <w:tcW w:w="1569"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0.09149</w:t>
            </w:r>
          </w:p>
        </w:tc>
        <w:tc>
          <w:tcPr>
            <w:tcW w:w="1557"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0.13118</w:t>
            </w:r>
          </w:p>
        </w:tc>
        <w:tc>
          <w:tcPr>
            <w:tcW w:w="154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0.697</w:t>
            </w:r>
          </w:p>
        </w:tc>
        <w:tc>
          <w:tcPr>
            <w:tcW w:w="1538"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&gt;0.05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0" w:type="dxa"/>
          </w:tcPr>
          <w:p>
            <w:pPr>
              <w:spacing w:line="480" w:lineRule="auto"/>
              <w:jc w:val="both"/>
              <w:rPr>
                <w:rFonts w:ascii="Times New Roman" w:hAnsi="Times New Roman" w:eastAsia="Times New Roman" w:cs="Times New Roman"/>
                <w:sz w:val="24"/>
                <w:szCs w:val="24"/>
              </w:rPr>
            </w:pPr>
          </w:p>
        </w:tc>
        <w:tc>
          <w:tcPr>
            <w:tcW w:w="1551"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Period 3</w:t>
            </w:r>
          </w:p>
        </w:tc>
        <w:tc>
          <w:tcPr>
            <w:tcW w:w="1569"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0.40884</w:t>
            </w:r>
          </w:p>
        </w:tc>
        <w:tc>
          <w:tcPr>
            <w:tcW w:w="1557"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0.13118</w:t>
            </w:r>
          </w:p>
        </w:tc>
        <w:tc>
          <w:tcPr>
            <w:tcW w:w="1545"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3.117</w:t>
            </w:r>
          </w:p>
        </w:tc>
        <w:tc>
          <w:tcPr>
            <w:tcW w:w="1538" w:type="dxa"/>
          </w:tcPr>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&lt;0.01</w:t>
            </w:r>
          </w:p>
        </w:tc>
      </w:tr>
    </w:tbl>
    <w:p>
      <w:pPr>
        <w:spacing w:line="480" w:lineRule="auto"/>
        <w:jc w:val="both"/>
        <w:rPr>
          <w:rFonts w:ascii="Times New Roman" w:hAnsi="Times New Roman" w:eastAsia="Times New Roman" w:cs="Times New Roman"/>
          <w:sz w:val="24"/>
          <w:szCs w:val="24"/>
        </w:rPr>
      </w:pPr>
    </w:p>
    <w:p>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Releveling with ref= S2</w:t>
      </w:r>
    </w:p>
    <w:p>
      <w:pPr>
        <w:pStyle w:val="4"/>
        <w:shd w:val="clear" w:color="auto" w:fill="161616"/>
        <w:wordWrap w:val="0"/>
        <w:rPr>
          <w:rFonts w:ascii="Lucida Console" w:hAnsi="Lucida Console"/>
          <w:color w:val="E6E1DC"/>
        </w:rPr>
      </w:pPr>
      <w:r>
        <w:rPr>
          <w:rFonts w:ascii="Times New Roman" w:hAnsi="Times New Roman" w:cs="Times New Roman"/>
          <w:sz w:val="24"/>
          <w:szCs w:val="24"/>
        </w:rPr>
        <w:t xml:space="preserve">Abundance: </w:t>
      </w:r>
      <w:r>
        <w:rPr>
          <w:rFonts w:ascii="Lucida Console" w:hAnsi="Lucida Console"/>
          <w:color w:val="E6E1DC"/>
        </w:rPr>
        <w:t>PeriodS3    -1.03015    0.05803 -17.753  &lt; 2e-16 ***</w:t>
      </w:r>
    </w:p>
    <w:p>
      <w:pPr>
        <w:spacing w:line="480" w:lineRule="auto"/>
        <w:jc w:val="both"/>
        <w:rPr>
          <w:rFonts w:ascii="Times New Roman" w:hAnsi="Times New Roman" w:eastAsia="Times New Roman" w:cs="Times New Roman"/>
          <w:sz w:val="24"/>
          <w:szCs w:val="24"/>
        </w:rPr>
      </w:pPr>
    </w:p>
    <w:p>
      <w:pPr>
        <w:pStyle w:val="4"/>
        <w:shd w:val="clear" w:color="auto" w:fill="161616"/>
        <w:wordWrap w:val="0"/>
        <w:rPr>
          <w:rFonts w:ascii="Lucida Console" w:hAnsi="Lucida Console"/>
          <w:color w:val="E6E1DC"/>
        </w:rPr>
      </w:pPr>
      <w:r>
        <w:rPr>
          <w:rFonts w:ascii="Times New Roman" w:hAnsi="Times New Roman" w:cs="Times New Roman"/>
          <w:sz w:val="24"/>
          <w:szCs w:val="24"/>
        </w:rPr>
        <w:t xml:space="preserve">Evenness: </w:t>
      </w:r>
      <w:r>
        <w:rPr>
          <w:rStyle w:val="8"/>
          <w:rFonts w:ascii="Lucida Console" w:hAnsi="Lucida Console"/>
          <w:color w:val="E6E1DC"/>
        </w:rPr>
        <w:t xml:space="preserve">PeriodS3     0.30899    0.11437   2.702   0.0108 *  </w:t>
      </w:r>
    </w:p>
    <w:p>
      <w:pPr>
        <w:spacing w:line="480" w:lineRule="auto"/>
        <w:jc w:val="both"/>
        <w:rPr>
          <w:rFonts w:ascii="Times New Roman" w:hAnsi="Times New Roman" w:eastAsia="Times New Roman" w:cs="Times New Roman"/>
          <w:sz w:val="24"/>
          <w:szCs w:val="24"/>
        </w:rPr>
      </w:pPr>
    </w:p>
    <w:p>
      <w:pPr>
        <w:pStyle w:val="4"/>
        <w:shd w:val="clear" w:color="auto" w:fill="161616"/>
        <w:wordWrap w:val="0"/>
        <w:rPr>
          <w:rFonts w:ascii="Lucida Console" w:hAnsi="Lucida Console"/>
          <w:color w:val="E6E1DC"/>
        </w:rPr>
      </w:pPr>
      <w:r>
        <w:rPr>
          <w:rFonts w:ascii="Times New Roman" w:hAnsi="Times New Roman" w:cs="Times New Roman"/>
          <w:sz w:val="24"/>
          <w:szCs w:val="24"/>
        </w:rPr>
        <w:t xml:space="preserve">Dominance: </w:t>
      </w:r>
      <w:r>
        <w:rPr>
          <w:rStyle w:val="8"/>
          <w:rFonts w:ascii="Lucida Console" w:hAnsi="Lucida Console"/>
          <w:color w:val="E6E1DC"/>
        </w:rPr>
        <w:t>PeriodS3    -0.47923    0.12439  -3.853  0.00051 ***</w:t>
      </w:r>
    </w:p>
    <w:p>
      <w:pPr>
        <w:spacing w:line="480" w:lineRule="auto"/>
        <w:jc w:val="both"/>
        <w:rPr>
          <w:rFonts w:ascii="Times New Roman" w:hAnsi="Times New Roman" w:eastAsia="Times New Roman" w:cs="Times New Roman"/>
          <w:sz w:val="24"/>
          <w:szCs w:val="24"/>
        </w:rPr>
      </w:pPr>
    </w:p>
    <w:p>
      <w:pPr>
        <w:pStyle w:val="4"/>
        <w:shd w:val="clear" w:color="auto" w:fill="161616"/>
        <w:wordWrap w:val="0"/>
        <w:rPr>
          <w:rFonts w:ascii="Lucida Console" w:hAnsi="Lucida Console"/>
          <w:color w:val="E6E1DC"/>
        </w:rPr>
      </w:pPr>
      <w:r>
        <w:rPr>
          <w:rFonts w:ascii="Times New Roman" w:hAnsi="Times New Roman" w:cs="Times New Roman"/>
          <w:sz w:val="24"/>
          <w:szCs w:val="24"/>
        </w:rPr>
        <w:t xml:space="preserve">Simpsons: </w:t>
      </w:r>
      <w:r>
        <w:rPr>
          <w:rStyle w:val="8"/>
          <w:rFonts w:ascii="Lucida Console" w:hAnsi="Lucida Console"/>
          <w:color w:val="E6E1DC"/>
        </w:rPr>
        <w:t xml:space="preserve">PeriodS3     0.37682    0.13224   2.850  0.00748 ** </w:t>
      </w:r>
    </w:p>
    <w:p>
      <w:pPr>
        <w:spacing w:line="480" w:lineRule="auto"/>
        <w:jc w:val="both"/>
        <w:rPr>
          <w:rFonts w:ascii="Times New Roman" w:hAnsi="Times New Roman" w:eastAsia="Times New Roman" w:cs="Times New Roman"/>
          <w:sz w:val="24"/>
          <w:szCs w:val="24"/>
        </w:rPr>
      </w:pPr>
    </w:p>
    <w:p>
      <w:pPr>
        <w:pStyle w:val="4"/>
        <w:shd w:val="clear" w:color="auto" w:fill="161616"/>
        <w:wordWrap w:val="0"/>
        <w:rPr>
          <w:rFonts w:ascii="Lucida Console" w:hAnsi="Lucida Console"/>
          <w:color w:val="E6E1DC"/>
        </w:rPr>
      </w:pPr>
      <w:r>
        <w:rPr>
          <w:rFonts w:ascii="Times New Roman" w:hAnsi="Times New Roman" w:cs="Times New Roman"/>
          <w:sz w:val="24"/>
          <w:szCs w:val="24"/>
        </w:rPr>
        <w:t xml:space="preserve">Shannon: </w:t>
      </w:r>
      <w:r>
        <w:rPr>
          <w:rStyle w:val="8"/>
          <w:rFonts w:ascii="Lucida Console" w:hAnsi="Lucida Console"/>
          <w:color w:val="E6E1DC"/>
        </w:rPr>
        <w:t>PeriodS3     0.31735    0.13118   2.419   0.0212 *</w:t>
      </w:r>
    </w:p>
    <w:p>
      <w:pPr>
        <w:spacing w:line="480" w:lineRule="auto"/>
        <w:jc w:val="both"/>
        <w:rPr>
          <w:rFonts w:ascii="Times New Roman" w:hAnsi="Times New Roman" w:eastAsia="Times New Roman" w:cs="Times New Roman"/>
          <w:sz w:val="24"/>
          <w:szCs w:val="24"/>
        </w:rPr>
      </w:pPr>
    </w:p>
    <w:p>
      <w:pPr>
        <w:spacing w:line="480" w:lineRule="auto"/>
        <w:jc w:val="both"/>
        <w:rPr>
          <w:rFonts w:ascii="Times New Roman" w:hAnsi="Times New Roman" w:eastAsia="Times New Roman" w:cs="Times New Roman"/>
          <w:sz w:val="24"/>
          <w:szCs w:val="24"/>
        </w:rPr>
      </w:pPr>
    </w:p>
    <w:p>
      <w:pPr>
        <w:spacing w:line="480" w:lineRule="auto"/>
        <w:jc w:val="both"/>
        <w:rPr>
          <w:rFonts w:ascii="Times New Roman" w:hAnsi="Times New Roman" w:eastAsia="Times New Roman" w:cs="Times New Roman"/>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ucida Console">
    <w:panose1 w:val="020B0609040504020204"/>
    <w:charset w:val="00"/>
    <w:family w:val="modern"/>
    <w:pitch w:val="default"/>
    <w:sig w:usb0="8000028F" w:usb1="00001800" w:usb2="00000000" w:usb3="00000000" w:csb0="0000001F" w:csb1="D7D70000"/>
  </w:font>
  <w:font w:name="Calibri">
    <w:panose1 w:val="020F0502020204030204"/>
    <w:charset w:val="86"/>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61D4"/>
    <w:rsid w:val="001B19B8"/>
    <w:rsid w:val="001C2A45"/>
    <w:rsid w:val="00223076"/>
    <w:rsid w:val="00276055"/>
    <w:rsid w:val="00345718"/>
    <w:rsid w:val="00413E20"/>
    <w:rsid w:val="00413EA1"/>
    <w:rsid w:val="00437046"/>
    <w:rsid w:val="004409AB"/>
    <w:rsid w:val="0047411E"/>
    <w:rsid w:val="00480051"/>
    <w:rsid w:val="004D71EE"/>
    <w:rsid w:val="00533D02"/>
    <w:rsid w:val="005626B6"/>
    <w:rsid w:val="006A7658"/>
    <w:rsid w:val="006C793A"/>
    <w:rsid w:val="00745368"/>
    <w:rsid w:val="00783421"/>
    <w:rsid w:val="0078562A"/>
    <w:rsid w:val="00894364"/>
    <w:rsid w:val="009B6651"/>
    <w:rsid w:val="009B727B"/>
    <w:rsid w:val="00A60E3A"/>
    <w:rsid w:val="00B314E5"/>
    <w:rsid w:val="00B937CF"/>
    <w:rsid w:val="00BB7440"/>
    <w:rsid w:val="00C06ABE"/>
    <w:rsid w:val="00C26239"/>
    <w:rsid w:val="00C861D4"/>
    <w:rsid w:val="00D05469"/>
    <w:rsid w:val="00D65302"/>
    <w:rsid w:val="00E9167C"/>
    <w:rsid w:val="00F843A4"/>
    <w:rsid w:val="00FE233E"/>
    <w:rsid w:val="04B34F3C"/>
    <w:rsid w:val="072D508B"/>
    <w:rsid w:val="1B3932D1"/>
    <w:rsid w:val="1F8C70A8"/>
    <w:rsid w:val="290449AE"/>
    <w:rsid w:val="2D5737A4"/>
    <w:rsid w:val="32131DE3"/>
    <w:rsid w:val="33B61B1F"/>
    <w:rsid w:val="459937E7"/>
    <w:rsid w:val="4BD26154"/>
    <w:rsid w:val="5A6710A2"/>
    <w:rsid w:val="79FA3520"/>
    <w:rsid w:val="7A5615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HTML Preformatted"/>
    <w:basedOn w:val="1"/>
    <w:link w:val="7"/>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14:ligatures w14:val="none"/>
    </w:rPr>
  </w:style>
  <w:style w:type="paragraph" w:styleId="5">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val="zh-CN" w:eastAsia="zh-CN"/>
    </w:rPr>
  </w:style>
  <w:style w:type="table" w:styleId="6">
    <w:name w:val="Table Grid"/>
    <w:basedOn w:val="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HTML Preformatted Char"/>
    <w:basedOn w:val="2"/>
    <w:link w:val="4"/>
    <w:semiHidden/>
    <w:uiPriority w:val="99"/>
    <w:rPr>
      <w:rFonts w:ascii="Courier New" w:hAnsi="Courier New" w:eastAsia="Times New Roman" w:cs="Courier New"/>
    </w:rPr>
  </w:style>
  <w:style w:type="character" w:customStyle="1" w:styleId="8">
    <w:name w:val="gnvwddmdn3b"/>
    <w:basedOn w:val="2"/>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591</Words>
  <Characters>3502</Characters>
  <Lines>307</Lines>
  <Paragraphs>237</Paragraphs>
  <TotalTime>22</TotalTime>
  <ScaleCrop>false</ScaleCrop>
  <LinksUpToDate>false</LinksUpToDate>
  <CharactersWithSpaces>3939</CharactersWithSpaces>
  <Application>WPS Office_12.2.0.13359_F1E327BC-269C-435d-A152-05C5408002CA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2024-01-03T13:35:00Z</dcterms:created>
  <dc:creator>HP</dc:creator>
  <cp:lastModifiedBy>user</cp:lastModifiedBy>
  <dcterms:modified xsi:type="dcterms:W3CDTF">2024-01-04T11:42:31Z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8804700e-320b-4eaf-a4cd-88440c65a541</vt:lpwstr>
  </property>
  <property fmtid="{D5CDD505-2E9C-101B-9397-08002B2CF9AE}" pid="3" name="KSOProductBuildVer">
    <vt:lpwstr>1033-12.2.0.13359</vt:lpwstr>
  </property>
  <property fmtid="{D5CDD505-2E9C-101B-9397-08002B2CF9AE}" pid="4" name="ICV">
    <vt:lpwstr>67613D14AB344BFAA4241A98F016C9D5_12</vt:lpwstr>
  </property>
</Properties>
</file>