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B1A1F">
      <w:pPr>
        <w:pStyle w:val="2"/>
        <w:spacing w:line="480" w:lineRule="auto"/>
        <w:jc w:val="center"/>
        <w:rPr>
          <w:rFonts w:ascii="Arial" w:hAnsi="Arial" w:cs="Arial"/>
          <w:sz w:val="24"/>
          <w:lang w:val="en-GB"/>
        </w:rPr>
      </w:pPr>
      <w:r>
        <w:rPr>
          <w:rFonts w:ascii="Arial" w:hAnsi="Arial" w:cs="Arial"/>
          <w:sz w:val="24"/>
        </w:rPr>
        <w:t>Community-level study of ticks in a major cattle market in Edo State reveals high tick diversity but no species-specific preference for predilection site</w:t>
      </w:r>
    </w:p>
    <w:p w14:paraId="4F64865A">
      <w:pPr>
        <w:pStyle w:val="2"/>
        <w:jc w:val="center"/>
        <w:rPr>
          <w:rFonts w:ascii="Arial" w:hAnsi="Arial" w:cs="Arial"/>
          <w:b w:val="0"/>
          <w:sz w:val="24"/>
          <w:lang w:val="en-GB"/>
        </w:rPr>
      </w:pPr>
      <w:r>
        <w:rPr>
          <w:rFonts w:ascii="Arial" w:hAnsi="Arial" w:cs="Arial"/>
          <w:b w:val="0"/>
          <w:sz w:val="24"/>
          <w:lang w:val="en-GB"/>
        </w:rPr>
        <w:t>Anthony Osarobo Omoregie*, Emmanuel Nosa Osawe, Nicholas Olatunde and Afegbodi Blessing Obaitan</w:t>
      </w:r>
    </w:p>
    <w:p w14:paraId="388FAAAA">
      <w:pPr>
        <w:pStyle w:val="2"/>
        <w:jc w:val="center"/>
        <w:rPr>
          <w:rFonts w:ascii="Arial" w:hAnsi="Arial" w:cs="Arial"/>
          <w:b w:val="0"/>
          <w:sz w:val="24"/>
          <w:lang w:val="en-GB"/>
        </w:rPr>
      </w:pPr>
      <w:r>
        <w:rPr>
          <w:rFonts w:ascii="Arial" w:hAnsi="Arial" w:cs="Arial"/>
          <w:b w:val="0"/>
          <w:sz w:val="24"/>
          <w:lang w:val="en-GB"/>
        </w:rPr>
        <w:t>Department of Animal and Environmental Biology, Faculty of Life Sciences, University of Benin, Benin City, Nigeria</w:t>
      </w:r>
    </w:p>
    <w:p w14:paraId="49548A35">
      <w:pPr>
        <w:pStyle w:val="2"/>
        <w:jc w:val="center"/>
        <w:rPr>
          <w:rFonts w:ascii="Arial" w:hAnsi="Arial" w:cs="Arial"/>
          <w:b w:val="0"/>
          <w:sz w:val="24"/>
          <w:lang w:val="en-GB"/>
        </w:rPr>
      </w:pPr>
      <w:r>
        <w:rPr>
          <w:rFonts w:ascii="Arial" w:hAnsi="Arial" w:cs="Arial"/>
          <w:b w:val="0"/>
          <w:sz w:val="24"/>
          <w:lang w:val="en-GB"/>
        </w:rPr>
        <w:t xml:space="preserve">*Corresponding Author: </w:t>
      </w:r>
      <w:r>
        <w:fldChar w:fldCharType="begin"/>
      </w:r>
      <w:r>
        <w:instrText xml:space="preserve"> HYPERLINK "mailto:anthony.omoregie@uniben.edu" </w:instrText>
      </w:r>
      <w:r>
        <w:fldChar w:fldCharType="separate"/>
      </w:r>
      <w:r>
        <w:rPr>
          <w:rStyle w:val="13"/>
          <w:rFonts w:ascii="Arial" w:hAnsi="Arial" w:cs="Arial"/>
          <w:b w:val="0"/>
          <w:sz w:val="24"/>
          <w:lang w:val="en-GB"/>
        </w:rPr>
        <w:t>anthony.omoregie@uniben.edu</w:t>
      </w:r>
      <w:r>
        <w:rPr>
          <w:rStyle w:val="13"/>
          <w:rFonts w:ascii="Arial" w:hAnsi="Arial" w:cs="Arial"/>
          <w:b w:val="0"/>
          <w:sz w:val="24"/>
          <w:lang w:val="en-GB"/>
        </w:rPr>
        <w:fldChar w:fldCharType="end"/>
      </w:r>
    </w:p>
    <w:p w14:paraId="07F193BE">
      <w:pPr>
        <w:pStyle w:val="2"/>
        <w:jc w:val="both"/>
        <w:rPr>
          <w:rFonts w:ascii="Arial" w:hAnsi="Arial" w:cs="Arial"/>
          <w:sz w:val="24"/>
          <w:lang w:val="en-GB"/>
        </w:rPr>
      </w:pPr>
      <w:r>
        <w:rPr>
          <w:rFonts w:ascii="Arial" w:hAnsi="Arial" w:cs="Arial"/>
          <w:sz w:val="24"/>
          <w:lang w:val="en-GB"/>
        </w:rPr>
        <w:t>ABSTRACT</w:t>
      </w:r>
    </w:p>
    <w:p w14:paraId="51A58D64">
      <w:pPr>
        <w:pStyle w:val="2"/>
        <w:spacing w:line="480" w:lineRule="auto"/>
        <w:jc w:val="both"/>
        <w:rPr>
          <w:rFonts w:ascii="Arial" w:hAnsi="Arial" w:cs="Arial"/>
          <w:sz w:val="24"/>
        </w:rPr>
      </w:pPr>
      <w:r>
        <w:rPr>
          <w:rFonts w:ascii="Arial" w:hAnsi="Arial" w:cs="Arial"/>
          <w:b w:val="0"/>
          <w:sz w:val="24"/>
        </w:rPr>
        <w:t>Ticks are important ectoparasites affecting livestock worldwide, serving as vectors of diseases that challenge traditional livestock farming. Most studies on tick infestations in Nigeria are focused on population-level assessments, providing limited insights into co-infestation and assemblage patterns on their host. In this study, we estimated ixodid tick diversity and abundance at a major cattle market in Edo State, Nigeria, following community-level methods which would give further insight to their predilection preference by life stage, sex and species of tick.  We employed a cross-sectional survey from January to March 2024, collecting tick samples from 96 cattle. A total of 1,930 ticks (1,689 adults, 241 nymphs</w:t>
      </w:r>
      <w:r>
        <w:rPr>
          <w:rFonts w:hint="default" w:ascii="Arial" w:hAnsi="Arial" w:cs="Arial"/>
          <w:b w:val="0"/>
          <w:sz w:val="24"/>
          <w:lang w:val="en-US"/>
        </w:rPr>
        <w:t xml:space="preserve">; Among adults: </w:t>
      </w:r>
      <w:r>
        <w:rPr>
          <w:rFonts w:hint="default" w:ascii="Arial" w:hAnsi="Arial"/>
          <w:b w:val="0"/>
          <w:sz w:val="24"/>
          <w:lang w:val="en-US"/>
        </w:rPr>
        <w:t>1570 females and 119 males</w:t>
      </w:r>
      <w:r>
        <w:rPr>
          <w:rFonts w:ascii="Arial" w:hAnsi="Arial" w:cs="Arial"/>
          <w:b w:val="0"/>
          <w:sz w:val="24"/>
        </w:rPr>
        <w:t>) were collected, belonging to four genera (</w:t>
      </w:r>
      <w:r>
        <w:rPr>
          <w:rFonts w:ascii="Arial" w:hAnsi="Arial" w:cs="Arial"/>
          <w:b w:val="0"/>
          <w:i/>
          <w:sz w:val="24"/>
        </w:rPr>
        <w:t>Amblyomma, Rhipicephalus, Haemaphysalis</w:t>
      </w:r>
      <w:r>
        <w:rPr>
          <w:rFonts w:ascii="Arial" w:hAnsi="Arial" w:cs="Arial"/>
          <w:b w:val="0"/>
          <w:sz w:val="24"/>
        </w:rPr>
        <w:t>) and 1</w:t>
      </w:r>
      <w:r>
        <w:rPr>
          <w:rFonts w:hint="default" w:ascii="Arial" w:hAnsi="Arial" w:cs="Arial"/>
          <w:b w:val="0"/>
          <w:sz w:val="24"/>
          <w:lang w:val="en-US"/>
        </w:rPr>
        <w:t>3</w:t>
      </w:r>
      <w:r>
        <w:rPr>
          <w:rFonts w:ascii="Arial" w:hAnsi="Arial" w:cs="Arial"/>
          <w:b w:val="0"/>
          <w:sz w:val="24"/>
        </w:rPr>
        <w:t xml:space="preserve"> species.</w:t>
      </w:r>
      <w:r>
        <w:rPr>
          <w:rFonts w:hint="default" w:ascii="Arial" w:hAnsi="Arial" w:cs="Arial"/>
          <w:b w:val="0"/>
          <w:sz w:val="24"/>
          <w:lang w:val="en-US"/>
        </w:rPr>
        <w:t>Though, Species accumulation curve and a Jacknife 2 estimator indicated a tick species richness of at least 15.</w:t>
      </w:r>
      <w:r>
        <w:rPr>
          <w:rFonts w:ascii="Arial" w:hAnsi="Arial" w:cs="Arial"/>
          <w:b w:val="0"/>
          <w:sz w:val="24"/>
        </w:rPr>
        <w:t xml:space="preserve"> </w:t>
      </w:r>
      <w:r>
        <w:rPr>
          <w:rFonts w:hint="default" w:ascii="Arial" w:hAnsi="Arial" w:cs="Arial"/>
          <w:b w:val="0"/>
          <w:i/>
          <w:sz w:val="24"/>
          <w:lang w:val="en-US"/>
        </w:rPr>
        <w:t>R.</w:t>
      </w:r>
      <w:r>
        <w:rPr>
          <w:rFonts w:ascii="Arial" w:hAnsi="Arial" w:cs="Arial"/>
          <w:b w:val="0"/>
          <w:i/>
          <w:sz w:val="24"/>
        </w:rPr>
        <w:t xml:space="preserve"> annulatus, </w:t>
      </w:r>
      <w:r>
        <w:rPr>
          <w:rFonts w:hint="default" w:ascii="Arial" w:hAnsi="Arial" w:cs="Arial"/>
          <w:b w:val="0"/>
          <w:i/>
          <w:sz w:val="24"/>
          <w:lang w:val="en-US"/>
        </w:rPr>
        <w:t>R</w:t>
      </w:r>
      <w:r>
        <w:rPr>
          <w:rFonts w:ascii="Arial" w:hAnsi="Arial" w:cs="Arial"/>
          <w:b w:val="0"/>
          <w:i/>
          <w:sz w:val="24"/>
        </w:rPr>
        <w:t xml:space="preserve">. decoloratus, and </w:t>
      </w:r>
      <w:r>
        <w:rPr>
          <w:rFonts w:hint="default" w:ascii="Arial" w:hAnsi="Arial" w:cs="Arial"/>
          <w:b w:val="0"/>
          <w:i/>
          <w:sz w:val="24"/>
          <w:lang w:val="en-US"/>
        </w:rPr>
        <w:t>R</w:t>
      </w:r>
      <w:r>
        <w:rPr>
          <w:rFonts w:ascii="Arial" w:hAnsi="Arial" w:cs="Arial"/>
          <w:b w:val="0"/>
          <w:i/>
          <w:sz w:val="24"/>
        </w:rPr>
        <w:t>. geigyi</w:t>
      </w:r>
      <w:r>
        <w:rPr>
          <w:rFonts w:ascii="Arial" w:hAnsi="Arial" w:cs="Arial"/>
          <w:b w:val="0"/>
          <w:sz w:val="24"/>
        </w:rPr>
        <w:t xml:space="preserve"> were the most abundant, accounting for over 92% of ticks collected.  </w:t>
      </w:r>
      <w:r>
        <w:rPr>
          <w:rFonts w:hint="default" w:ascii="Arial" w:hAnsi="Arial" w:cs="Arial"/>
          <w:b w:val="0"/>
          <w:sz w:val="24"/>
          <w:lang w:val="en-US"/>
        </w:rPr>
        <w:t xml:space="preserve"> </w:t>
      </w:r>
      <w:r>
        <w:rPr>
          <w:rFonts w:ascii="Arial" w:hAnsi="Arial" w:cs="Arial"/>
          <w:b w:val="0"/>
          <w:sz w:val="24"/>
        </w:rPr>
        <w:t>Permutative Multivariate Analysis of Variance tests showed significant differences (p &lt; 0.001) in tick community composition when compared by sex and life stage but not by predilection sites.  Also, a Factor Analysis of Mixed data did not reveal species-specific preference for any predilection site. Furthermore, Margalef indices of tick diversity were not significantly different (P&gt;0.05) in all predilection sites. Given the role of cattle trade in spreading ticks across regions, our findings suggest the need for broader tick surveillance in Edo State due to the potential underrepresentation of abundance and diversity. Also, the lack of species-specific predilection suggests control strategies should target all host body parts.</w:t>
      </w:r>
    </w:p>
    <w:p w14:paraId="313224D2">
      <w:pPr>
        <w:pStyle w:val="2"/>
        <w:spacing w:line="480" w:lineRule="auto"/>
        <w:jc w:val="both"/>
        <w:rPr>
          <w:rFonts w:ascii="Arial" w:hAnsi="Arial" w:cs="Arial"/>
          <w:b w:val="0"/>
          <w:sz w:val="24"/>
          <w:lang w:val="en-GB"/>
        </w:rPr>
      </w:pPr>
      <w:r>
        <w:rPr>
          <w:rFonts w:ascii="Arial" w:hAnsi="Arial" w:cs="Arial"/>
          <w:sz w:val="24"/>
          <w:lang w:val="en-GB"/>
        </w:rPr>
        <w:t xml:space="preserve">KEYWORDS: </w:t>
      </w:r>
      <w:r>
        <w:rPr>
          <w:rFonts w:ascii="Arial" w:hAnsi="Arial" w:cs="Arial"/>
          <w:b w:val="0"/>
          <w:sz w:val="24"/>
          <w:lang w:val="en-GB"/>
        </w:rPr>
        <w:t>Ixodid ticks, Tick diversity, Tick abundance, Tick predilection sites, Cattle market</w:t>
      </w:r>
    </w:p>
    <w:p w14:paraId="56CCB4CF">
      <w:pPr>
        <w:pStyle w:val="2"/>
        <w:numPr>
          <w:ilvl w:val="0"/>
          <w:numId w:val="1"/>
        </w:numPr>
        <w:rPr>
          <w:rFonts w:ascii="Arial" w:hAnsi="Arial" w:cs="Arial"/>
          <w:sz w:val="24"/>
          <w:lang w:val="en-GB"/>
        </w:rPr>
      </w:pPr>
      <w:r>
        <w:rPr>
          <w:rFonts w:ascii="Arial" w:hAnsi="Arial" w:cs="Arial"/>
          <w:sz w:val="24"/>
          <w:lang w:val="en-GB"/>
        </w:rPr>
        <w:t>INTRODUCTION</w:t>
      </w:r>
    </w:p>
    <w:p w14:paraId="0EE6B073">
      <w:pPr>
        <w:spacing w:line="480" w:lineRule="auto"/>
        <w:jc w:val="both"/>
        <w:rPr>
          <w:rFonts w:ascii="Arial" w:hAnsi="Arial" w:cs="Arial"/>
          <w:sz w:val="24"/>
          <w:szCs w:val="24"/>
          <w:lang w:val="en-GB"/>
        </w:rPr>
      </w:pPr>
      <w:r>
        <w:rPr>
          <w:rFonts w:ascii="Arial" w:hAnsi="Arial" w:cs="Arial"/>
          <w:sz w:val="24"/>
          <w:szCs w:val="24"/>
        </w:rPr>
        <w:t xml:space="preserve">Ticks are major ectoparasites of livestock, acting as vectors for diseases that challenge traditional farming. Infestations lead to discomfort, physical damage, weight loss, reduced productivity, and heightened susceptibility to infections [1-3]. They transmit diseases like anaplasmosis, babesiosis, theileriosis, and rickettsiosis, significantly affecting livestock health and economic output [4]. In West Africa,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are prominent species, contributing to the spread of diseases like heartwater caused by </w:t>
      </w:r>
      <w:r>
        <w:rPr>
          <w:rFonts w:ascii="Arial" w:hAnsi="Arial" w:cs="Arial"/>
          <w:i/>
          <w:iCs/>
          <w:sz w:val="24"/>
          <w:szCs w:val="24"/>
        </w:rPr>
        <w:t>Ehrlichia ruminantium</w:t>
      </w:r>
      <w:r>
        <w:rPr>
          <w:rFonts w:ascii="Arial" w:hAnsi="Arial" w:cs="Arial"/>
          <w:sz w:val="24"/>
          <w:szCs w:val="24"/>
        </w:rPr>
        <w:t xml:space="preserve"> [5-7]. The severity of tick-induced harm varies by life stage, sex, and feeding capacity.</w:t>
      </w:r>
    </w:p>
    <w:p w14:paraId="319FBDE9">
      <w:pPr>
        <w:spacing w:line="480" w:lineRule="auto"/>
        <w:jc w:val="both"/>
        <w:rPr>
          <w:rFonts w:ascii="Arial" w:hAnsi="Arial" w:cs="Arial"/>
          <w:sz w:val="24"/>
          <w:szCs w:val="24"/>
        </w:rPr>
      </w:pPr>
      <w:r>
        <w:rPr>
          <w:rFonts w:ascii="Arial" w:hAnsi="Arial" w:cs="Arial"/>
          <w:sz w:val="24"/>
          <w:szCs w:val="24"/>
        </w:rPr>
        <w:t>Tick life stages impact hosts differently due to variations in transmission potential. Adult ticks, being larger than nymphs, consume more blood and cause greater discomfort [8]. Male and female ticks also vary in their effects; females cause significant irritation, inflammation, and secondary infections, while their reproductive capacity exacerbates infestations and disease transmission [2,9,10]. Additionally, sex-specific microbiota differences influence the diseases they transmit [10-11].</w:t>
      </w:r>
    </w:p>
    <w:p w14:paraId="22011D8B">
      <w:pPr>
        <w:spacing w:line="480" w:lineRule="auto"/>
        <w:jc w:val="both"/>
        <w:rPr>
          <w:rFonts w:ascii="Arial" w:hAnsi="Arial" w:cs="Arial"/>
          <w:sz w:val="24"/>
          <w:szCs w:val="24"/>
          <w:lang w:val="en-GB"/>
        </w:rPr>
      </w:pPr>
      <w:r>
        <w:rPr>
          <w:rFonts w:ascii="Arial" w:hAnsi="Arial" w:cs="Arial"/>
          <w:sz w:val="24"/>
          <w:szCs w:val="24"/>
        </w:rPr>
        <w:t xml:space="preserve">Evidence suggests tick species exhibit preferences for specific predilection sites on livestock hosts. For instance, </w:t>
      </w:r>
      <w:r>
        <w:rPr>
          <w:rFonts w:ascii="Arial" w:hAnsi="Arial" w:cs="Arial"/>
          <w:i/>
          <w:iCs/>
          <w:sz w:val="24"/>
          <w:szCs w:val="24"/>
        </w:rPr>
        <w:t>Amblyomma variegatum</w:t>
      </w:r>
      <w:r>
        <w:rPr>
          <w:rFonts w:ascii="Arial" w:hAnsi="Arial" w:cs="Arial"/>
          <w:sz w:val="24"/>
          <w:szCs w:val="24"/>
        </w:rPr>
        <w:t xml:space="preserve"> frequently targets the mammary area, often causing severe wounds and reduced milk production [12-14]. Such preferences are influenced by factors like attachment ability, host species, hair density, body temperature, proximity to blood vessels, evolutionary traits, and environmental conditions [11,15,16]. These tendencies may lead certain tick taxa, sexes, or life stages to favor specific body regions, altering community dynamics and site-specific infestations.</w:t>
      </w:r>
    </w:p>
    <w:p w14:paraId="7871DEB4">
      <w:pPr>
        <w:spacing w:line="480" w:lineRule="auto"/>
        <w:jc w:val="both"/>
        <w:rPr>
          <w:rFonts w:ascii="Arial" w:hAnsi="Arial" w:cs="Arial"/>
          <w:sz w:val="24"/>
          <w:szCs w:val="24"/>
        </w:rPr>
      </w:pPr>
      <w:r>
        <w:rPr>
          <w:rFonts w:ascii="Arial" w:hAnsi="Arial" w:cs="Arial"/>
          <w:sz w:val="24"/>
          <w:szCs w:val="24"/>
        </w:rPr>
        <w:t>Livestock farming, particularly cattle trading, plays a vital economic and cultural role in Nigeria, contributing significantly to the Agricultural Gross Domestic Product (GDP) [17]. The sector generates employment, fosters inter-ethnic relations—dominated by Hausa traders—and provides essential products like meat, hides, and milk [18]. Most cattle in southern Nigeria are sourced from the northern states, where they are bred before transportation [19]. Livestock farming also sustains rural livelihoods and supports income generation [19]. However, tick infestations impose severe economic burdens through reduced productivity and disease transmission. These issues stem from prolonged attachment periods and the role of ticks as vectors of veterinary pathogens. Despite the significant challenges posed by ticks, control measures remain largely uncoordinated and insufficient [20,21]</w:t>
      </w:r>
    </w:p>
    <w:p w14:paraId="1680E546">
      <w:pPr>
        <w:spacing w:line="480" w:lineRule="auto"/>
        <w:jc w:val="both"/>
        <w:rPr>
          <w:rFonts w:ascii="Arial" w:hAnsi="Arial" w:cs="Arial"/>
          <w:sz w:val="24"/>
          <w:szCs w:val="24"/>
          <w:lang w:val="en-GB"/>
        </w:rPr>
      </w:pPr>
      <w:r>
        <w:rPr>
          <w:rFonts w:ascii="Arial" w:hAnsi="Arial" w:cs="Arial"/>
          <w:sz w:val="24"/>
          <w:szCs w:val="24"/>
        </w:rPr>
        <w:t xml:space="preserve">The diversity and abundance of cattle ticks in Nigeria remain poorly studied. While some research has assessed tick prevalence at predilection sites, species-specific preferences have not been investigated. Additionally, many significant tick vectors are inadequately monitored. For instance, the invasive Brazilian tick, </w:t>
      </w:r>
      <w:r>
        <w:rPr>
          <w:rFonts w:ascii="Arial" w:hAnsi="Arial" w:cs="Arial"/>
          <w:i/>
          <w:iCs/>
          <w:sz w:val="24"/>
          <w:szCs w:val="24"/>
        </w:rPr>
        <w:t>Rh. microplus</w:t>
      </w:r>
      <w:r>
        <w:rPr>
          <w:rFonts w:ascii="Arial" w:hAnsi="Arial" w:cs="Arial"/>
          <w:sz w:val="24"/>
          <w:szCs w:val="24"/>
        </w:rPr>
        <w:t xml:space="preserve">, was first reported in high numbers in Edo State, Nigeria, by Adane </w:t>
      </w:r>
      <w:r>
        <w:rPr>
          <w:rFonts w:ascii="Arial" w:hAnsi="Arial" w:cs="Arial"/>
          <w:i/>
          <w:sz w:val="24"/>
          <w:szCs w:val="24"/>
        </w:rPr>
        <w:t>et al</w:t>
      </w:r>
      <w:r>
        <w:rPr>
          <w:rFonts w:ascii="Arial" w:hAnsi="Arial" w:cs="Arial"/>
          <w:sz w:val="24"/>
          <w:szCs w:val="24"/>
        </w:rPr>
        <w:t>. [22]. However, follow-up studies to monitor its persistence or investigate its spread remain scarce. This highlights a critical data gap needed for effective tick control, especially for livestock of significant economic importance to Nigeria.</w:t>
      </w:r>
    </w:p>
    <w:p w14:paraId="58250F20">
      <w:pPr>
        <w:spacing w:line="480" w:lineRule="auto"/>
        <w:jc w:val="both"/>
        <w:rPr>
          <w:rFonts w:ascii="Arial" w:hAnsi="Arial" w:cs="Arial"/>
          <w:sz w:val="24"/>
          <w:szCs w:val="24"/>
          <w:lang w:val="en-GB"/>
        </w:rPr>
      </w:pPr>
      <w:r>
        <w:rPr>
          <w:rFonts w:ascii="Arial" w:hAnsi="Arial" w:cs="Arial"/>
          <w:sz w:val="24"/>
          <w:szCs w:val="24"/>
        </w:rPr>
        <w:t xml:space="preserve">Most studies on ticks in Nigeria have focused on population-level assessments, providing limited insights into co-infestation patterns and community-level structures. Comprehensive studies employing multivariate community-level approaches are essential to addressing these gaps. Understanding tick distribution and community structures can inform control measures, enhance disease management strategies, and support pest regulatory agencies in mitigating tick-borne diseases [23-24]. In this study, we aimed to address knowledge gaps on tick infestations in Edo State, Nigeria, by estimating </w:t>
      </w:r>
      <w:r>
        <w:rPr>
          <w:rFonts w:ascii="Arial" w:hAnsi="Arial" w:cs="Arial"/>
          <w:iCs/>
          <w:sz w:val="24"/>
          <w:szCs w:val="24"/>
        </w:rPr>
        <w:t>Ixodid</w:t>
      </w:r>
      <w:r>
        <w:rPr>
          <w:rFonts w:ascii="Arial" w:hAnsi="Arial" w:cs="Arial"/>
          <w:sz w:val="24"/>
          <w:szCs w:val="24"/>
        </w:rPr>
        <w:t xml:space="preserve"> tick diversity and abundance in a major cattle market, examining the community-level structure of ticks across predilection sites on cattle, and investigating whether specific tick species, life stages, or sexes exhibit preferences for particular predilection areas.</w:t>
      </w:r>
    </w:p>
    <w:p w14:paraId="3628BCD4">
      <w:pPr>
        <w:pStyle w:val="2"/>
        <w:numPr>
          <w:ilvl w:val="0"/>
          <w:numId w:val="1"/>
        </w:numPr>
        <w:spacing w:before="0" w:beforeAutospacing="0" w:after="0" w:afterAutospacing="0"/>
        <w:rPr>
          <w:rFonts w:ascii="Arial" w:hAnsi="Arial" w:cs="Arial"/>
          <w:sz w:val="24"/>
          <w:lang w:val="en-GB"/>
        </w:rPr>
      </w:pPr>
      <w:r>
        <w:rPr>
          <w:rFonts w:ascii="Arial" w:hAnsi="Arial" w:cs="Arial"/>
          <w:sz w:val="24"/>
          <w:lang w:val="en-GB"/>
        </w:rPr>
        <w:t xml:space="preserve">MATERIALS AND METHOD </w:t>
      </w:r>
    </w:p>
    <w:p w14:paraId="7487153C">
      <w:pPr>
        <w:pStyle w:val="2"/>
        <w:spacing w:before="240" w:beforeAutospacing="0" w:after="0" w:afterAutospacing="0"/>
        <w:rPr>
          <w:rFonts w:ascii="Arial" w:hAnsi="Arial" w:cs="Arial"/>
          <w:sz w:val="24"/>
          <w:lang w:val="en-GB"/>
        </w:rPr>
      </w:pPr>
      <w:r>
        <w:rPr>
          <w:rFonts w:ascii="Arial" w:hAnsi="Arial" w:cs="Arial"/>
          <w:sz w:val="24"/>
          <w:lang w:val="en-GB"/>
        </w:rPr>
        <w:t>DESCRIPTION OF STUDY AREA</w:t>
      </w:r>
    </w:p>
    <w:p w14:paraId="14F337BF">
      <w:pPr>
        <w:pStyle w:val="14"/>
        <w:spacing w:before="240" w:beforeAutospacing="0" w:line="480" w:lineRule="auto"/>
        <w:jc w:val="both"/>
        <w:rPr>
          <w:rFonts w:ascii="Arial" w:hAnsi="Arial" w:cs="Arial"/>
        </w:rPr>
      </w:pPr>
      <w:r>
        <w:rPr>
          <w:rFonts w:ascii="Arial" w:hAnsi="Arial" w:cs="Arial"/>
        </w:rPr>
        <w:t>The study was conducted at the Federal Government College Road cattle market in Egor Local Government Area (LGA), Benin City, Edo State, Nigeria. This market is the largest in Egor LGA by size and volume of cattle traded, ranking third in Edo State. It serves customers from Benin City and surrounding regions. The site is geographically located at 6.38861°N latitude and 5.62611°E longitude.</w:t>
      </w:r>
    </w:p>
    <w:p w14:paraId="3C898CD9">
      <w:pPr>
        <w:pStyle w:val="14"/>
        <w:spacing w:before="240" w:beforeAutospacing="0" w:line="480" w:lineRule="auto"/>
        <w:jc w:val="both"/>
        <w:rPr>
          <w:rFonts w:ascii="Arial" w:hAnsi="Arial" w:cs="Arial"/>
        </w:rPr>
      </w:pPr>
      <w:r>
        <w:rPr>
          <w:rFonts w:ascii="Arial" w:hAnsi="Arial" w:cs="Arial"/>
        </w:rPr>
        <w:t>Benin City, the capital and largest city of Edo State, is situated in Nigeria's South-South geopolitical zone. As of the 2006 national census, it had a population of approximately 1,363,975 [25] and lies at an average elevation of 78 meters above sea level [26]. Positioned in the humid tropical rainforest belt of Nigeria, the city experiences a tropical monsoon climate with two distinct seasons: a wet season (April to September) characterized by heavy rainfall and high humidity, and a dry season (October to March) marked by lower humidity and sparse rainfall. The annual precipitation averages 2,679 mm (105.5 inches).</w:t>
      </w:r>
    </w:p>
    <w:p w14:paraId="0ABBB6FB">
      <w:pPr>
        <w:pStyle w:val="14"/>
        <w:spacing w:before="240" w:beforeAutospacing="0" w:line="480" w:lineRule="auto"/>
        <w:jc w:val="both"/>
        <w:rPr>
          <w:rFonts w:ascii="Arial" w:hAnsi="Arial" w:cs="Arial"/>
          <w:b/>
          <w:lang w:val="en-GB"/>
        </w:rPr>
      </w:pPr>
      <w:r>
        <w:rPr>
          <w:rFonts w:ascii="Arial" w:hAnsi="Arial" w:cs="Arial"/>
          <w:b/>
          <w:lang w:val="en-GB"/>
        </w:rPr>
        <w:t>STUDY POPULATION</w:t>
      </w:r>
    </w:p>
    <w:p w14:paraId="6FE18CB3">
      <w:pPr>
        <w:pStyle w:val="14"/>
        <w:spacing w:before="240" w:beforeAutospacing="0" w:line="480" w:lineRule="auto"/>
        <w:jc w:val="both"/>
        <w:rPr>
          <w:rFonts w:ascii="Arial" w:hAnsi="Arial" w:cs="Arial"/>
          <w:lang w:val="en-GB"/>
        </w:rPr>
      </w:pPr>
      <w:r>
        <w:rPr>
          <w:rFonts w:ascii="Arial" w:hAnsi="Arial" w:cs="Arial"/>
          <w:lang w:val="en-GB"/>
        </w:rPr>
        <w:t>The study population comprised both male and female cattle at the Federal Government College Road cattle market in Benin City. The observed cattle included various varieties of the Zebu breed (</w:t>
      </w:r>
      <w:r>
        <w:rPr>
          <w:rFonts w:ascii="Arial" w:hAnsi="Arial" w:cs="Arial"/>
          <w:i/>
          <w:lang w:val="en-GB"/>
        </w:rPr>
        <w:t>Bos</w:t>
      </w:r>
      <w:r>
        <w:rPr>
          <w:rFonts w:ascii="Arial" w:hAnsi="Arial" w:cs="Arial"/>
          <w:lang w:val="en-GB"/>
        </w:rPr>
        <w:t xml:space="preserve"> </w:t>
      </w:r>
      <w:r>
        <w:rPr>
          <w:rFonts w:ascii="Arial" w:hAnsi="Arial" w:cs="Arial"/>
          <w:i/>
          <w:lang w:val="en-GB"/>
        </w:rPr>
        <w:t>indicus</w:t>
      </w:r>
      <w:r>
        <w:rPr>
          <w:rFonts w:ascii="Arial" w:hAnsi="Arial" w:cs="Arial"/>
          <w:lang w:val="en-GB"/>
        </w:rPr>
        <w:t>), such as Bokolo, Abore, Bunaji, and Ambala. These cattle were primarily transported for sale in southern Nigeria from northern regions of the country, including Taraba, Adamawa, and Abuja, as well as from neighbouring countries such as Chad and Cameroon. They exhibited a wide range of ages. The cattle predominantly relied on extensive grazing, feeding on natural grasslands to meet their nutritional needs.</w:t>
      </w:r>
    </w:p>
    <w:p w14:paraId="40B9BED1">
      <w:pPr>
        <w:pStyle w:val="14"/>
        <w:spacing w:before="240" w:beforeAutospacing="0" w:line="480" w:lineRule="auto"/>
        <w:jc w:val="both"/>
        <w:rPr>
          <w:rFonts w:ascii="Arial" w:hAnsi="Arial" w:cs="Arial"/>
          <w:b/>
          <w:lang w:val="en-GB"/>
        </w:rPr>
      </w:pPr>
      <w:r>
        <w:rPr>
          <w:rFonts w:ascii="Arial" w:hAnsi="Arial" w:cs="Arial"/>
          <w:b/>
          <w:lang w:val="en-GB"/>
        </w:rPr>
        <w:t>SAMPLING AND DATA COLLECTION</w:t>
      </w:r>
    </w:p>
    <w:p w14:paraId="34E6E0C6">
      <w:pPr>
        <w:pStyle w:val="14"/>
        <w:spacing w:before="240" w:beforeAutospacing="0" w:line="480" w:lineRule="auto"/>
        <w:jc w:val="both"/>
        <w:rPr>
          <w:rFonts w:ascii="Arial" w:hAnsi="Arial" w:cs="Arial"/>
          <w:lang w:val="en-GB"/>
        </w:rPr>
      </w:pPr>
      <w:r>
        <w:rPr>
          <w:rFonts w:ascii="Arial" w:hAnsi="Arial" w:cs="Arial"/>
          <w:lang w:val="en-GB"/>
        </w:rPr>
        <w:t>A comprehensive cross-sectional field survey was conducted during the dry season, spanning January to March 2024. Ticks were collected from 6 predilection sites including head, neck, shoulder, belly, legs and tails, on the body of cattle using the hand-picking method (Fig. 1).</w:t>
      </w:r>
      <w:r>
        <w:rPr>
          <w:rFonts w:ascii="Arial" w:hAnsi="Arial" w:cs="Arial"/>
          <w:b/>
          <w:lang w:val="en-GB"/>
        </w:rPr>
        <w:t xml:space="preserve"> </w:t>
      </w:r>
      <w:r>
        <w:rPr>
          <w:rFonts w:ascii="Arial" w:hAnsi="Arial" w:cs="Arial"/>
          <w:lang w:val="en-GB"/>
        </w:rPr>
        <w:t>Collected</w:t>
      </w:r>
      <w:r>
        <w:rPr>
          <w:rFonts w:ascii="Arial" w:hAnsi="Arial" w:cs="Arial"/>
          <w:b/>
          <w:lang w:val="en-GB"/>
        </w:rPr>
        <w:t xml:space="preserve"> t</w:t>
      </w:r>
      <w:r>
        <w:rPr>
          <w:rFonts w:ascii="Arial" w:hAnsi="Arial" w:cs="Arial"/>
          <w:lang w:val="en-GB"/>
        </w:rPr>
        <w:t>icks were introduced into labelled sample bottles containing mixture of 70% ethanol and 10% glycerol (1:1) as preservative. The samples were examined under a dissecting microscope to determine their identification based on their morphological characteristics in the Department of Animal and Environmental Biology, Faculty of Life Sciences, University of Benin, Benin City, Nigeria. The ticks were identified to their genus and species using gross external morphological keys [27, 28]. The sex and stage of development of the ticks were also recorded.</w:t>
      </w:r>
    </w:p>
    <w:p w14:paraId="0149D008">
      <w:pPr>
        <w:rPr>
          <w:rFonts w:ascii="Arial" w:hAnsi="Arial" w:cs="Arial"/>
          <w:sz w:val="24"/>
          <w:szCs w:val="24"/>
          <w:lang w:val="en-GB"/>
        </w:rPr>
      </w:pPr>
      <w:r>
        <w:rPr>
          <w:rFonts w:ascii="Arial" w:hAnsi="Arial" w:cs="Arial"/>
          <w:sz w:val="24"/>
          <w:szCs w:val="24"/>
        </w:rPr>
        <w:drawing>
          <wp:inline distT="0" distB="0" distL="0" distR="0">
            <wp:extent cx="5232400" cy="3340100"/>
            <wp:effectExtent l="0" t="0" r="6350" b="0"/>
            <wp:docPr id="2" name="Picture 2" descr="C:\Users\DELL\Downloads\Cattle- Tick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Downloads\Cattle- Ticks (1).png"/>
                    <pic:cNvPicPr>
                      <a:picLocks noChangeAspect="1" noChangeArrowheads="1"/>
                    </pic:cNvPicPr>
                  </pic:nvPicPr>
                  <pic:blipFill>
                    <a:blip r:embed="rId7">
                      <a:extLst>
                        <a:ext uri="{28A0092B-C50C-407E-A947-70E740481C1C}">
                          <a14:useLocalDpi xmlns:a14="http://schemas.microsoft.com/office/drawing/2010/main" val="0"/>
                        </a:ext>
                      </a:extLst>
                    </a:blip>
                    <a:srcRect l="7265" t="9158" r="4701" b="10561"/>
                    <a:stretch>
                      <a:fillRect/>
                    </a:stretch>
                  </pic:blipFill>
                  <pic:spPr>
                    <a:xfrm>
                      <a:off x="0" y="0"/>
                      <a:ext cx="5232400" cy="3340100"/>
                    </a:xfrm>
                    <a:prstGeom prst="rect">
                      <a:avLst/>
                    </a:prstGeom>
                    <a:noFill/>
                    <a:ln>
                      <a:noFill/>
                    </a:ln>
                  </pic:spPr>
                </pic:pic>
              </a:graphicData>
            </a:graphic>
          </wp:inline>
        </w:drawing>
      </w:r>
    </w:p>
    <w:p w14:paraId="07BE6DC5">
      <w:pPr>
        <w:rPr>
          <w:rFonts w:ascii="Arial" w:hAnsi="Arial" w:cs="Arial"/>
          <w:sz w:val="24"/>
          <w:szCs w:val="24"/>
          <w:lang w:val="en-GB"/>
        </w:rPr>
      </w:pPr>
      <w:r>
        <w:rPr>
          <w:rFonts w:ascii="Arial" w:hAnsi="Arial" w:cs="Arial"/>
          <w:b/>
          <w:sz w:val="24"/>
          <w:szCs w:val="24"/>
          <w:lang w:val="en-GB"/>
        </w:rPr>
        <w:t xml:space="preserve">Fig. 1 </w:t>
      </w:r>
      <w:r>
        <w:rPr>
          <w:rFonts w:ascii="Arial" w:hAnsi="Arial" w:cs="Arial"/>
          <w:sz w:val="24"/>
          <w:szCs w:val="24"/>
          <w:lang w:val="en-GB"/>
        </w:rPr>
        <w:t>Schematic representation of the cattle predilection site where ticks were sampled for this study</w:t>
      </w:r>
    </w:p>
    <w:p w14:paraId="2F85CE26">
      <w:pPr>
        <w:rPr>
          <w:rFonts w:ascii="Arial" w:hAnsi="Arial" w:cs="Arial"/>
          <w:lang w:val="en-GB"/>
        </w:rPr>
      </w:pPr>
    </w:p>
    <w:p w14:paraId="3B4253E5">
      <w:pPr>
        <w:pStyle w:val="3"/>
        <w:rPr>
          <w:rFonts w:ascii="Arial" w:hAnsi="Arial" w:cs="Arial"/>
          <w:lang w:val="en-GB"/>
        </w:rPr>
      </w:pPr>
      <w:r>
        <w:rPr>
          <w:rFonts w:ascii="Arial" w:hAnsi="Arial" w:cs="Arial"/>
          <w:lang w:val="en-GB"/>
        </w:rPr>
        <w:t>STATISTICAL ANALYSIS</w:t>
      </w:r>
    </w:p>
    <w:p w14:paraId="7A995057">
      <w:pPr>
        <w:spacing w:line="480" w:lineRule="auto"/>
        <w:jc w:val="both"/>
        <w:rPr>
          <w:rFonts w:ascii="Arial" w:hAnsi="Arial" w:cs="Arial"/>
          <w:sz w:val="24"/>
          <w:szCs w:val="24"/>
          <w:lang w:val="en-GB"/>
        </w:rPr>
      </w:pPr>
      <w:r>
        <w:rPr>
          <w:rFonts w:ascii="Arial" w:hAnsi="Arial" w:cs="Arial"/>
          <w:sz w:val="24"/>
          <w:szCs w:val="24"/>
          <w:lang w:val="en-GB"/>
        </w:rPr>
        <w:t xml:space="preserve">For this study, we used the R software (Version 4.4.0) and Paleontological Statistics (PAST) Version 4.03 software [29] to analyse the tick data we collected. All data aggregation and manipulation was done in R. </w:t>
      </w:r>
    </w:p>
    <w:p w14:paraId="2215C4BE">
      <w:pPr>
        <w:spacing w:line="480" w:lineRule="auto"/>
        <w:jc w:val="both"/>
        <w:rPr>
          <w:rFonts w:ascii="Arial" w:hAnsi="Arial" w:cs="Arial"/>
          <w:sz w:val="24"/>
          <w:szCs w:val="24"/>
          <w:lang w:val="en-GB"/>
        </w:rPr>
      </w:pPr>
      <w:r>
        <w:rPr>
          <w:rFonts w:ascii="Arial" w:hAnsi="Arial" w:cs="Arial"/>
          <w:sz w:val="24"/>
          <w:szCs w:val="24"/>
          <w:lang w:val="en-GB"/>
        </w:rPr>
        <w:t>Percentage prevalence of ticks among the cattle surveyed was done using the formula:</w:t>
      </w:r>
    </w:p>
    <w:p w14:paraId="2D5D4A1D">
      <w:pPr>
        <w:tabs>
          <w:tab w:val="left" w:pos="630"/>
          <w:tab w:val="left" w:pos="3135"/>
          <w:tab w:val="center" w:pos="4513"/>
        </w:tabs>
        <w:spacing w:after="0" w:line="480" w:lineRule="auto"/>
        <w:jc w:val="both"/>
        <w:rPr>
          <w:rFonts w:ascii="Arial" w:hAnsi="Arial" w:cs="Arial"/>
          <w:sz w:val="24"/>
          <w:szCs w:val="24"/>
        </w:rPr>
      </w:pPr>
      <w:r>
        <w:rPr>
          <w:rFonts w:ascii="Arial" w:hAnsi="Arial" w:cs="Arial"/>
          <w:sz w:val="24"/>
          <w:szCs w:val="24"/>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2878455</wp:posOffset>
                </wp:positionH>
                <wp:positionV relativeFrom="paragraph">
                  <wp:posOffset>247650</wp:posOffset>
                </wp:positionV>
                <wp:extent cx="219075" cy="0"/>
                <wp:effectExtent l="0" t="0" r="9525" b="19050"/>
                <wp:wrapNone/>
                <wp:docPr id="266048296" name="Straight Connector 1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o:spt="20" style="position:absolute;left:0pt;margin-left:226.65pt;margin-top:19.5pt;height:0pt;width:17.25pt;z-index:251660288;mso-width-relative:page;mso-height-relative:page;" filled="f" stroked="t" coordsize="21600,21600" o:gfxdata="UEsDBAoAAAAAAIdO4kAAAAAAAAAAAAAAAAAEAAAAZHJzL1BLAwQUAAAACACHTuJARLxf8dYAAAAJ&#10;AQAADwAAAGRycy9kb3ducmV2LnhtbE2PwU6EMBCG7ya+QzMm3tyysgoiZQ8mHkxMdNGDxy7MAtpO&#10;se0Cvr1jPOhxZv5883/ldrFGTOjD4EjBepWAQGpcO1Cn4PXl/iIHEaKmVhtHqOALA2yr05NSF62b&#10;aYdTHTvBEAqFVtDHOBZShqZHq8PKjUh8OzhvdeTRd7L1ema4NfIySa6l1QPxh16PeNdj81EfLVMo&#10;+zwsxr89Pz32eT2/48OUoVLnZ+vkFkTEJf6F4ac+V4eKO+3dkdogjILNVZpyVEF6w04c2OQZu+x/&#10;F7Iq5X+D6htQSwMEFAAAAAgAh07iQAVXbm7aAQAAvAMAAA4AAABkcnMvZTJvRG9jLnhtbK1TyW7b&#10;MBC9F8g/ELzHWtq4jmA5BxvppWgNpP0AmqIkAtwww1j233dIOU6aXnKoDtRwljd8j8P1w8kadlSA&#10;2ruWV4uSM+Wk77QbWv771+PtijOMwnXCeKdaflbIHzY3n9ZTaFTtR286BYxAHDZTaPkYY2iKAuWo&#10;rMCFD8pRsPdgRaQtDEUHYiJ0a4q6LJfF5KEL4KVCJO9uDvILInwE0Pe9lmrn5bNVLs6ooIyIRAlH&#10;HZBv8mn7Xsn4s+9RRWZaTkxjXqkJ2Ye0Fpu1aAYQYdTycgTxkSO842SFdtT0CrUTUbBn0P9AWS3B&#10;o+/jQnpbzESyIsSiKt9p8zSKoDIXkhrDVXT8f7Dyx3EPTHctr5fL8suqvl9y5oSli3+KIPQwRrb1&#10;zpGQHlhVJcGmgA3Vbd0eLjsMe0jsTz3Y9Cde7JRFPl9FVqfIJDnr6r78eseZfAkVr3UBMH5T3rJk&#10;tNxol+iLRhy/Y6RelPqSktzOP2pj8hUax6aWLz/f0cVKQWPZ0ziQaQNRQzdwJsxA8y4jZET0Rnep&#10;OuEgDIetAXYUaUryl3hSt7/SUuudwHHOy6F5fqyO9CSMti1fva02jkCSWrM+yTr47pxly3661Nzm&#10;MoBpat7uc/Xro9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S8X/HWAAAACQEAAA8AAAAAAAAA&#10;AQAgAAAAIgAAAGRycy9kb3ducmV2LnhtbFBLAQIUABQAAAAIAIdO4kAFV25u2gEAALwDAAAOAAAA&#10;AAAAAAEAIAAAACUBAABkcnMvZTJvRG9jLnhtbFBLBQYAAAAABgAGAFkBAABxBQAAAAA=&#10;">
                <v:fill on="f" focussize="0,0"/>
                <v:stroke weight="0.5pt" color="#000000 [3200]" miterlimit="8" joinstyle="miter"/>
                <v:imagedata o:title=""/>
                <o:lock v:ext="edit" aspectratio="f"/>
              </v:line>
            </w:pict>
          </mc:Fallback>
        </mc:AlternateContent>
      </w:r>
      <w:r>
        <w:rPr>
          <w:rFonts w:ascii="Arial" w:hAnsi="Arial" w:cs="Arial"/>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1123315</wp:posOffset>
                </wp:positionH>
                <wp:positionV relativeFrom="paragraph">
                  <wp:posOffset>267335</wp:posOffset>
                </wp:positionV>
                <wp:extent cx="1514475" cy="0"/>
                <wp:effectExtent l="0" t="0" r="9525" b="19050"/>
                <wp:wrapNone/>
                <wp:docPr id="1966164233" name="Straight Connector 7"/>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o:spt="20" style="position:absolute;left:0pt;margin-left:88.45pt;margin-top:21.05pt;height:0pt;width:119.25pt;z-index:251659264;mso-width-relative:page;mso-height-relative:page;" filled="f" stroked="t" coordsize="21600,21600" o:gfxdata="UEsDBAoAAAAAAIdO4kAAAAAAAAAAAAAAAAAEAAAAZHJzL1BLAwQUAAAACACHTuJAVOD2Y9YAAAAJ&#10;AQAADwAAAGRycy9kb3ducmV2LnhtbE2PwU7DMAyG70i8Q2QkbiztVNZRmu6AxAEJCSgcOGat1xYS&#10;pyRZW94eIw7j+Nu/Pn8ud4s1YkIfBkcK0lUCAqlx7UCdgrfX+6stiBA1tdo4QgXfGGBXnZ+Vumjd&#10;TC841bETDKFQaAV9jGMhZWh6tDqs3IjEu4PzVkeOvpOt1zPDrZHrJNlIqwfiC70e8a7H5rM+WqZQ&#10;/nVYjH9/fnrst/X8gQ9TjkpdXqTJLYiISzyV4Vef1aFip707UhuE4ZxvbriqIFunILiQpdcZiP3f&#10;QFal/P9B9QNQSwMEFAAAAAgAh07iQEtt/VvbAQAAvQMAAA4AAABkcnMvZTJvRG9jLnhtbK1TyW7b&#10;MBC9F+g/ELzXsrwoqWA5BxvppWgNpP0AmqIkAtwww1j233dIOU6aXnKoDtRwljd8j8PNw9kadlKA&#10;2ruGl7M5Z8pJ32rXN/z3r8cv95xhFK4VxjvV8ItC/rD9/Gkzhlot/OBNq4ARiMN6DA0fYgx1UaAc&#10;lBU480E5CnYerIi0hb5oQYyEbk2xmM+rYvTQBvBSIZJ3PwX5FRE+Aui7Tku19/LZKhcnVFBGRKKE&#10;gw7It/m0Xadk/Nl1qCIzDSemMa/UhOxjWovtRtQ9iDBoeT2C+MgR3nGyQjtqeoPaiyjYM+h/oKyW&#10;4NF3cSa9LSYiWRFiUc7fafM0iKAyF5Iaw010/H+w8sfpAEy3NAlfq6qsVovlkjMnLN38UwSh+yGy&#10;nXeOlPTA7pJgY8Ca6nbuANcdhgMk9ucObPoTL3bOIl9uIqtzZJKc5bpcre7WnMmXWPFaGADjN+Ut&#10;S0bDjXaJv6jF6TtGakapLynJ7fyjNibfoXFsbHi1XNPNSkFz2dE8kGkDcUPXcyZMTwMvI2RE9Ea3&#10;qTrhIPTHnQF2EmlM8peIUre/0lLrvcBhysuhaYCsjvQmjLYNv39bbRyBJLkmgZJ19O0l65b9dKu5&#10;zXUC09i83efq11e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U4PZj1gAAAAkBAAAPAAAAAAAA&#10;AAEAIAAAACIAAABkcnMvZG93bnJldi54bWxQSwECFAAUAAAACACHTuJAS239W9sBAAC9AwAADgAA&#10;AAAAAAABACAAAAAlAQAAZHJzL2Uyb0RvYy54bWxQSwUGAAAAAAYABgBZAQAAcgUAAAAA&#10;">
                <v:fill on="f" focussize="0,0"/>
                <v:stroke weight="0.5pt" color="#000000 [3200]" miterlimit="8" joinstyle="miter"/>
                <v:imagedata o:title=""/>
                <o:lock v:ext="edit" aspectratio="f"/>
              </v:line>
            </w:pict>
          </mc:Fallback>
        </mc:AlternateContent>
      </w:r>
      <w:r>
        <w:rPr>
          <w:rFonts w:ascii="Arial" w:hAnsi="Arial" w:cs="Arial"/>
          <w:sz w:val="24"/>
          <w:szCs w:val="24"/>
        </w:rPr>
        <w:t>Prevalence (%) = Number of infected host   x  100</w:t>
      </w:r>
    </w:p>
    <w:p w14:paraId="6EF110C6">
      <w:pPr>
        <w:tabs>
          <w:tab w:val="left" w:pos="630"/>
          <w:tab w:val="left" w:pos="3135"/>
          <w:tab w:val="center" w:pos="4513"/>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 xml:space="preserve">                  Number of examined host       1</w:t>
      </w:r>
    </w:p>
    <w:p w14:paraId="3E531294">
      <w:pPr>
        <w:spacing w:line="480" w:lineRule="auto"/>
        <w:jc w:val="both"/>
        <w:rPr>
          <w:rFonts w:ascii="Arial" w:hAnsi="Arial" w:cs="Arial"/>
          <w:sz w:val="24"/>
          <w:szCs w:val="24"/>
          <w:lang w:val="en-GB"/>
        </w:rPr>
      </w:pPr>
    </w:p>
    <w:p w14:paraId="3C205D7D">
      <w:pPr>
        <w:spacing w:line="480" w:lineRule="auto"/>
        <w:jc w:val="both"/>
        <w:rPr>
          <w:rFonts w:ascii="Arial" w:hAnsi="Arial" w:cs="Arial"/>
          <w:sz w:val="24"/>
          <w:szCs w:val="24"/>
          <w:lang w:val="en-GB"/>
        </w:rPr>
      </w:pPr>
      <w:r>
        <w:rPr>
          <w:rFonts w:ascii="Arial" w:hAnsi="Arial" w:cs="Arial"/>
          <w:sz w:val="24"/>
          <w:szCs w:val="24"/>
          <w:lang w:val="en-GB"/>
        </w:rPr>
        <w:t xml:space="preserve">Overall, species richness was estimated using the Chao 2 and Jacknife 2 estimators. In addition, a species accumulation curve (SAC) was used to visually show how much sampling effort influences the observed species richness. All species richness estimations were calculated in PAST Software. We calculated the tick prevalence (%) by calculating the percentage of infested cattle from the total number of cattle examined. </w:t>
      </w:r>
    </w:p>
    <w:p w14:paraId="66AC2186">
      <w:pPr>
        <w:spacing w:line="480" w:lineRule="auto"/>
        <w:jc w:val="both"/>
        <w:rPr>
          <w:rFonts w:ascii="Arial" w:hAnsi="Arial" w:cs="Arial"/>
          <w:sz w:val="24"/>
          <w:szCs w:val="24"/>
          <w:lang w:val="en-GB"/>
        </w:rPr>
      </w:pPr>
      <w:r>
        <w:rPr>
          <w:rFonts w:ascii="Arial" w:hAnsi="Arial" w:cs="Arial"/>
          <w:sz w:val="24"/>
          <w:szCs w:val="24"/>
          <w:lang w:val="en-GB"/>
        </w:rPr>
        <w:t xml:space="preserve">Margalef indices at each predilection site for individual cattle were calculated using PAST software as a measure of the species richness of each tick community. </w:t>
      </w:r>
    </w:p>
    <w:p w14:paraId="748EFEB3">
      <w:pPr>
        <w:spacing w:line="480" w:lineRule="auto"/>
        <w:jc w:val="both"/>
        <w:rPr>
          <w:rFonts w:ascii="Arial" w:hAnsi="Arial" w:cs="Arial"/>
          <w:sz w:val="24"/>
          <w:szCs w:val="24"/>
          <w:lang w:val="en-GB"/>
        </w:rPr>
      </w:pPr>
      <w:r>
        <w:rPr>
          <w:rFonts w:ascii="Arial" w:hAnsi="Arial" w:cs="Arial"/>
          <w:sz w:val="24"/>
          <w:szCs w:val="24"/>
          <w:lang w:val="en-GB"/>
        </w:rPr>
        <w:t xml:space="preserve">Margalef index: </w:t>
      </w:r>
      <w:r>
        <w:rPr>
          <w:rFonts w:ascii="Arial" w:hAnsi="Arial" w:cs="Arial"/>
          <w:i/>
          <w:sz w:val="24"/>
          <w:szCs w:val="24"/>
          <w:lang w:val="en-GB"/>
        </w:rPr>
        <w:t>D = (S - 1) / ln(N)</w:t>
      </w:r>
    </w:p>
    <w:p w14:paraId="2CCDFDE2">
      <w:pPr>
        <w:spacing w:line="480" w:lineRule="auto"/>
        <w:jc w:val="both"/>
        <w:rPr>
          <w:rFonts w:ascii="Arial" w:hAnsi="Arial" w:cs="Arial"/>
          <w:sz w:val="24"/>
          <w:szCs w:val="24"/>
          <w:lang w:val="en-GB"/>
        </w:rPr>
      </w:pPr>
      <w:r>
        <w:rPr>
          <w:rFonts w:ascii="Arial" w:hAnsi="Arial" w:cs="Arial"/>
          <w:sz w:val="24"/>
          <w:szCs w:val="24"/>
          <w:lang w:val="en-GB"/>
        </w:rPr>
        <w:t xml:space="preserve">Where: </w:t>
      </w:r>
      <w:r>
        <w:rPr>
          <w:rFonts w:ascii="Arial" w:hAnsi="Arial" w:cs="Arial"/>
          <w:i/>
          <w:sz w:val="24"/>
          <w:szCs w:val="24"/>
          <w:lang w:val="en-GB"/>
        </w:rPr>
        <w:t>D</w:t>
      </w:r>
      <w:r>
        <w:rPr>
          <w:rFonts w:ascii="Arial" w:hAnsi="Arial" w:cs="Arial"/>
          <w:sz w:val="24"/>
          <w:szCs w:val="24"/>
          <w:lang w:val="en-GB"/>
        </w:rPr>
        <w:t xml:space="preserve"> is the Margalef Index; </w:t>
      </w:r>
      <w:r>
        <w:rPr>
          <w:rFonts w:ascii="Arial" w:hAnsi="Arial" w:cs="Arial"/>
          <w:i/>
          <w:sz w:val="24"/>
          <w:szCs w:val="24"/>
          <w:lang w:val="en-GB"/>
        </w:rPr>
        <w:t>S</w:t>
      </w:r>
      <w:r>
        <w:rPr>
          <w:rFonts w:ascii="Arial" w:hAnsi="Arial" w:cs="Arial"/>
          <w:sz w:val="24"/>
          <w:szCs w:val="24"/>
          <w:lang w:val="en-GB"/>
        </w:rPr>
        <w:t xml:space="preserve"> is the total number of species; </w:t>
      </w:r>
      <w:r>
        <w:rPr>
          <w:rFonts w:ascii="Arial" w:hAnsi="Arial" w:cs="Arial"/>
          <w:i/>
          <w:sz w:val="24"/>
          <w:szCs w:val="24"/>
          <w:lang w:val="en-GB"/>
        </w:rPr>
        <w:t>N</w:t>
      </w:r>
      <w:r>
        <w:rPr>
          <w:rFonts w:ascii="Arial" w:hAnsi="Arial" w:cs="Arial"/>
          <w:sz w:val="24"/>
          <w:szCs w:val="24"/>
          <w:lang w:val="en-GB"/>
        </w:rPr>
        <w:t xml:space="preserve"> is the total number of individuals; </w:t>
      </w:r>
      <w:r>
        <w:rPr>
          <w:rFonts w:ascii="Arial" w:hAnsi="Arial" w:cs="Arial"/>
          <w:i/>
          <w:sz w:val="24"/>
          <w:szCs w:val="24"/>
          <w:lang w:val="en-GB"/>
        </w:rPr>
        <w:t>ln</w:t>
      </w:r>
      <w:r>
        <w:rPr>
          <w:rFonts w:ascii="Arial" w:hAnsi="Arial" w:cs="Arial"/>
          <w:sz w:val="24"/>
          <w:szCs w:val="24"/>
          <w:lang w:val="en-GB"/>
        </w:rPr>
        <w:t xml:space="preserve"> is the natural logarithm.</w:t>
      </w:r>
    </w:p>
    <w:p w14:paraId="6BECB0D8">
      <w:pPr>
        <w:spacing w:line="480" w:lineRule="auto"/>
        <w:jc w:val="both"/>
        <w:rPr>
          <w:rFonts w:ascii="Arial" w:hAnsi="Arial" w:cs="Arial"/>
          <w:sz w:val="24"/>
          <w:szCs w:val="24"/>
          <w:lang w:val="en-GB"/>
        </w:rPr>
      </w:pPr>
      <w:r>
        <w:rPr>
          <w:rFonts w:ascii="Arial" w:hAnsi="Arial" w:cs="Arial"/>
          <w:sz w:val="24"/>
          <w:szCs w:val="24"/>
          <w:lang w:val="en-GB"/>
        </w:rPr>
        <w:t>A negative binomial model compared ticks' mean abundance and species richness across all cattle predilection sites. This was computed using the ‘glm.nb()’ function of the “MASS” package in R [30]. As a post hoc to assess significant differences in abundance and across each predilection site, Tukey tests (α = 0.05) for multiple comparisons were computed using the ‘glht()’ function from the "multcomp" package [31], given the existence of five distinct habitat levels. Also, a Kruskal-walis test was computed on the calculated Margalef index to compare its difference across all predilection sites, using the ‘kruskal.test()’ function in the “dunn.test” package.</w:t>
      </w:r>
    </w:p>
    <w:p w14:paraId="00E8F369">
      <w:pPr>
        <w:spacing w:line="480" w:lineRule="auto"/>
        <w:jc w:val="both"/>
        <w:rPr>
          <w:rFonts w:ascii="Arial" w:hAnsi="Arial" w:cs="Arial"/>
          <w:sz w:val="24"/>
          <w:szCs w:val="24"/>
          <w:lang w:val="en-GB"/>
        </w:rPr>
      </w:pPr>
      <w:r>
        <w:rPr>
          <w:rFonts w:ascii="Arial" w:hAnsi="Arial" w:cs="Arial"/>
          <w:sz w:val="24"/>
          <w:szCs w:val="24"/>
          <w:lang w:val="en-GB"/>
        </w:rPr>
        <w:t xml:space="preserve">Non-metric Multidimensional Scaling (NMDS) was used to analyze and visualize the overall dissimilarity of the tick community at the cattle predilection sites, using the Bray-Curtis coefficient to create similarity matrices. Two dimensions adequately captured the pattern in the data. We employed Permutative Analysis of Variance (PERMANOVA) to check for significant changes in the tick community compositions for Sex, life stage and predilection sites, determined through 9999 permutations using the ‘adonis2()’ function from the “Vegan” package in R. As a post hoc, we used the ‘pairwise.adonis()’ function to check for significant differences (α = 0.05) between communities. Also, we tested for homogeneity of multivariate dispersion, which is a good way to represent the tick community variance between the predilection sites of the cattle. This was done using the ‘betadisper()’ function of the “Vegan” package. </w:t>
      </w:r>
    </w:p>
    <w:p w14:paraId="78D8D0A1">
      <w:pPr>
        <w:tabs>
          <w:tab w:val="left" w:pos="630"/>
        </w:tabs>
        <w:spacing w:line="480" w:lineRule="auto"/>
        <w:jc w:val="both"/>
        <w:rPr>
          <w:rFonts w:ascii="Arial" w:hAnsi="Arial" w:cs="Arial"/>
          <w:sz w:val="24"/>
          <w:szCs w:val="24"/>
        </w:rPr>
      </w:pPr>
      <w:r>
        <w:rPr>
          <w:rFonts w:ascii="Arial" w:hAnsi="Arial" w:cs="Arial"/>
          <w:sz w:val="24"/>
          <w:szCs w:val="24"/>
          <w:lang w:val="en-GB"/>
        </w:rPr>
        <w:t xml:space="preserve">To ordinate the preference of ticks by taxon, sex, developmental stage, and predilection site, we used a Factor Analysis of Mixed Data (FAMD). The data included qualitative variables (sex, predilection site, and tick life stage) and quantitative variables (abundance of each tick species). FAMD reduces the dimensionality of complex multi-dimensional datasets by projecting them into a principal component (PC) subspace, which can be visualized as a point cloud. In this space, the proximity of two points indicates their overall similarity based on the selected PCs. The FAMD was performed using the "FactoMineR" package [32]. </w:t>
      </w:r>
    </w:p>
    <w:p w14:paraId="03CEA23E">
      <w:pPr>
        <w:pStyle w:val="2"/>
        <w:numPr>
          <w:ilvl w:val="0"/>
          <w:numId w:val="1"/>
        </w:numPr>
        <w:rPr>
          <w:rFonts w:ascii="Arial" w:hAnsi="Arial" w:cs="Arial"/>
          <w:sz w:val="24"/>
          <w:lang w:val="en-GB"/>
        </w:rPr>
      </w:pPr>
      <w:r>
        <w:rPr>
          <w:rFonts w:ascii="Arial" w:hAnsi="Arial" w:cs="Arial"/>
          <w:sz w:val="24"/>
          <w:lang w:val="en-GB"/>
        </w:rPr>
        <w:t xml:space="preserve">    RESULTS</w:t>
      </w:r>
    </w:p>
    <w:p w14:paraId="2932E69D">
      <w:pPr>
        <w:spacing w:after="0" w:line="480" w:lineRule="auto"/>
        <w:jc w:val="both"/>
        <w:rPr>
          <w:rFonts w:ascii="Arial" w:hAnsi="Arial" w:cs="Arial"/>
          <w:b/>
          <w:sz w:val="24"/>
          <w:szCs w:val="24"/>
          <w:lang w:val="en-GB"/>
        </w:rPr>
      </w:pPr>
      <w:r>
        <w:rPr>
          <w:rFonts w:ascii="Arial" w:hAnsi="Arial" w:cs="Arial"/>
          <w:b/>
          <w:sz w:val="24"/>
          <w:szCs w:val="24"/>
          <w:lang w:val="en-GB"/>
        </w:rPr>
        <w:t>3.1.</w:t>
      </w:r>
      <w:r>
        <w:rPr>
          <w:rFonts w:ascii="Arial" w:hAnsi="Arial" w:cs="Arial"/>
          <w:b/>
          <w:sz w:val="24"/>
          <w:szCs w:val="24"/>
          <w:lang w:val="en-GB"/>
        </w:rPr>
        <w:tab/>
      </w:r>
      <w:r>
        <w:rPr>
          <w:rFonts w:ascii="Arial" w:hAnsi="Arial" w:cs="Arial"/>
          <w:b/>
          <w:sz w:val="24"/>
          <w:szCs w:val="24"/>
          <w:lang w:val="en-GB"/>
        </w:rPr>
        <w:t>Prevalence, abundance and relative abundance of ticks</w:t>
      </w:r>
    </w:p>
    <w:p w14:paraId="4BF1449B">
      <w:pPr>
        <w:spacing w:before="240" w:line="480" w:lineRule="auto"/>
        <w:jc w:val="both"/>
        <w:rPr>
          <w:rFonts w:hint="default" w:ascii="Arial" w:hAnsi="Arial" w:eastAsia="Times New Roman"/>
          <w:color w:val="000000"/>
          <w:sz w:val="24"/>
          <w:szCs w:val="24"/>
        </w:rPr>
      </w:pPr>
      <w:r>
        <w:rPr>
          <w:rFonts w:hint="default" w:ascii="Arial" w:hAnsi="Arial" w:eastAsia="Times New Roman"/>
          <w:color w:val="000000"/>
          <w:sz w:val="24"/>
          <w:szCs w:val="24"/>
        </w:rPr>
        <w:t xml:space="preserve">In this survey, 75 out of 95 sampled cattle were infested with at least one tick species, indicating an overall tick prevalence of 78.95%. Tick-infested cattle had a median of three distinct tick species. A total of 1,930 ticks were collected, comprising 1,689 adults and 241 nymphs. Of the adults, there were </w:t>
      </w:r>
      <w:r>
        <w:rPr>
          <w:rFonts w:hint="default" w:ascii="Arial" w:hAnsi="Arial" w:eastAsia="Times New Roman"/>
          <w:color w:val="000000"/>
          <w:sz w:val="24"/>
          <w:szCs w:val="24"/>
          <w:lang w:val="en-US"/>
        </w:rPr>
        <w:t>1570</w:t>
      </w:r>
      <w:r>
        <w:rPr>
          <w:rFonts w:hint="default" w:ascii="Arial" w:hAnsi="Arial" w:eastAsia="Times New Roman"/>
          <w:color w:val="000000"/>
          <w:sz w:val="24"/>
          <w:szCs w:val="24"/>
        </w:rPr>
        <w:t xml:space="preserve"> females and </w:t>
      </w:r>
      <w:r>
        <w:rPr>
          <w:rFonts w:hint="default" w:ascii="Arial" w:hAnsi="Arial" w:eastAsia="Times New Roman"/>
          <w:color w:val="000000"/>
          <w:sz w:val="24"/>
          <w:szCs w:val="24"/>
          <w:lang w:val="en-US"/>
        </w:rPr>
        <w:t>119</w:t>
      </w:r>
      <w:r>
        <w:rPr>
          <w:rFonts w:hint="default" w:ascii="Arial" w:hAnsi="Arial" w:eastAsia="Times New Roman"/>
          <w:color w:val="000000"/>
          <w:sz w:val="24"/>
          <w:szCs w:val="24"/>
        </w:rPr>
        <w:t xml:space="preserve"> males. Ticks were found across six predilection sites: belly (432), head (356), legs (417), neck (282), shoulder (99), and tail (344).</w:t>
      </w:r>
    </w:p>
    <w:p w14:paraId="7B3E7EA7">
      <w:pPr>
        <w:spacing w:before="240" w:line="480" w:lineRule="auto"/>
        <w:jc w:val="both"/>
        <w:rPr>
          <w:rFonts w:hint="default" w:ascii="Arial" w:hAnsi="Arial" w:eastAsia="Times New Roman" w:cs="Arial"/>
          <w:color w:val="000000"/>
          <w:sz w:val="24"/>
          <w:szCs w:val="24"/>
          <w:lang w:val="en-US"/>
        </w:rPr>
      </w:pPr>
      <w:r>
        <w:rPr>
          <w:rFonts w:hint="default" w:ascii="Arial" w:hAnsi="Arial" w:eastAsia="Times New Roman" w:cs="Arial"/>
          <w:color w:val="000000"/>
          <w:sz w:val="24"/>
          <w:szCs w:val="24"/>
          <w:lang w:val="en-US"/>
        </w:rPr>
        <w:t xml:space="preserve">Three </w:t>
      </w:r>
      <w:r>
        <w:rPr>
          <w:rFonts w:ascii="Arial" w:hAnsi="Arial" w:eastAsia="Times New Roman" w:cs="Arial"/>
          <w:color w:val="000000"/>
          <w:sz w:val="24"/>
          <w:szCs w:val="24"/>
        </w:rPr>
        <w:t>ixodid tick genera—</w:t>
      </w:r>
      <w:r>
        <w:rPr>
          <w:rFonts w:ascii="Arial" w:hAnsi="Arial" w:eastAsia="Times New Roman" w:cs="Arial"/>
          <w:i/>
          <w:iCs/>
          <w:color w:val="000000"/>
          <w:sz w:val="24"/>
          <w:szCs w:val="24"/>
        </w:rPr>
        <w:t>Amblyomma</w:t>
      </w:r>
      <w:r>
        <w:rPr>
          <w:rFonts w:ascii="Arial" w:hAnsi="Arial" w:eastAsia="Times New Roman" w:cs="Arial"/>
          <w:color w:val="000000"/>
          <w:sz w:val="24"/>
          <w:szCs w:val="24"/>
        </w:rPr>
        <w:t xml:space="preserve">, </w:t>
      </w:r>
      <w:r>
        <w:rPr>
          <w:rFonts w:ascii="Arial" w:hAnsi="Arial" w:eastAsia="Times New Roman" w:cs="Arial"/>
          <w:i/>
          <w:iCs/>
          <w:color w:val="000000"/>
          <w:sz w:val="24"/>
          <w:szCs w:val="24"/>
        </w:rPr>
        <w:t>Rhipicephalus</w:t>
      </w:r>
      <w:r>
        <w:rPr>
          <w:rFonts w:ascii="Arial" w:hAnsi="Arial" w:eastAsia="Times New Roman" w:cs="Arial"/>
          <w:color w:val="000000"/>
          <w:sz w:val="24"/>
          <w:szCs w:val="24"/>
        </w:rPr>
        <w:t xml:space="preserve">, and </w:t>
      </w:r>
      <w:r>
        <w:rPr>
          <w:rFonts w:ascii="Arial" w:hAnsi="Arial" w:eastAsia="Times New Roman" w:cs="Arial"/>
          <w:i/>
          <w:iCs/>
          <w:color w:val="000000"/>
          <w:sz w:val="24"/>
          <w:szCs w:val="24"/>
        </w:rPr>
        <w:t>Haemaphysalis</w:t>
      </w:r>
      <w:r>
        <w:rPr>
          <w:rFonts w:ascii="Arial" w:hAnsi="Arial" w:eastAsia="Times New Roman" w:cs="Arial"/>
          <w:color w:val="000000"/>
          <w:sz w:val="24"/>
          <w:szCs w:val="24"/>
        </w:rPr>
        <w:t>—were identified, consisting of 1</w:t>
      </w:r>
      <w:r>
        <w:rPr>
          <w:rFonts w:hint="default" w:ascii="Arial" w:hAnsi="Arial" w:eastAsia="Times New Roman" w:cs="Arial"/>
          <w:color w:val="000000"/>
          <w:sz w:val="24"/>
          <w:szCs w:val="24"/>
          <w:lang w:val="en-US"/>
        </w:rPr>
        <w:t>3</w:t>
      </w:r>
      <w:r>
        <w:rPr>
          <w:rFonts w:ascii="Arial" w:hAnsi="Arial" w:eastAsia="Times New Roman" w:cs="Arial"/>
          <w:color w:val="000000"/>
          <w:sz w:val="24"/>
          <w:szCs w:val="24"/>
        </w:rPr>
        <w:t xml:space="preserve"> species (Table 1). The most prevalent species were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annulatus</w:t>
      </w:r>
      <w:r>
        <w:rPr>
          <w:rFonts w:ascii="Arial" w:hAnsi="Arial" w:eastAsia="Times New Roman" w:cs="Arial"/>
          <w:color w:val="000000"/>
          <w:sz w:val="24"/>
          <w:szCs w:val="24"/>
        </w:rPr>
        <w:t xml:space="preserve"> (65.26 %),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decoloratus</w:t>
      </w:r>
      <w:r>
        <w:rPr>
          <w:rFonts w:ascii="Arial" w:hAnsi="Arial" w:eastAsia="Times New Roman" w:cs="Arial"/>
          <w:color w:val="000000"/>
          <w:sz w:val="24"/>
          <w:szCs w:val="24"/>
        </w:rPr>
        <w:t xml:space="preserve"> (72.63 %), and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geigyi</w:t>
      </w:r>
      <w:r>
        <w:rPr>
          <w:rFonts w:ascii="Arial" w:hAnsi="Arial" w:eastAsia="Times New Roman" w:cs="Arial"/>
          <w:color w:val="000000"/>
          <w:sz w:val="24"/>
          <w:szCs w:val="24"/>
        </w:rPr>
        <w:t xml:space="preserve"> (66.32 %) (Fig. 2). These three species were also the most abundant, accounting for 42.38 %, 29.38 %, and 20.93 % of the total ticks, respectively, and constituted over 92% of ticks collected from all positive cattle. Rare</w:t>
      </w:r>
      <w:r>
        <w:rPr>
          <w:rFonts w:hint="default" w:ascii="Arial" w:hAnsi="Arial" w:eastAsia="Times New Roman" w:cs="Arial"/>
          <w:color w:val="000000"/>
          <w:sz w:val="24"/>
          <w:szCs w:val="24"/>
          <w:lang w:val="en-US"/>
        </w:rPr>
        <w:t xml:space="preserve"> ticks</w:t>
      </w:r>
      <w:r>
        <w:rPr>
          <w:rFonts w:ascii="Arial" w:hAnsi="Arial" w:eastAsia="Times New Roman" w:cs="Arial"/>
          <w:color w:val="000000"/>
          <w:sz w:val="24"/>
          <w:szCs w:val="24"/>
        </w:rPr>
        <w:t xml:space="preserve">, including </w:t>
      </w:r>
      <w:r>
        <w:rPr>
          <w:rFonts w:hint="default" w:ascii="Times New Roman" w:hAnsi="Times New Roman" w:eastAsia="SimSun" w:cs="Times New Roman"/>
          <w:i/>
          <w:iCs/>
          <w:color w:val="000000"/>
          <w:kern w:val="0"/>
          <w:sz w:val="24"/>
          <w:szCs w:val="24"/>
          <w:u w:val="none"/>
          <w:lang w:val="en-US" w:eastAsia="zh-CN" w:bidi="ar"/>
        </w:rPr>
        <w:t>A. gemma</w:t>
      </w:r>
      <w:r>
        <w:rPr>
          <w:rFonts w:ascii="Arial" w:hAnsi="Arial" w:eastAsia="Times New Roman" w:cs="Arial"/>
          <w:color w:val="000000"/>
          <w:sz w:val="24"/>
          <w:szCs w:val="24"/>
        </w:rPr>
        <w:t xml:space="preserve"> and an unidentified </w:t>
      </w:r>
      <w:r>
        <w:rPr>
          <w:rFonts w:hint="default" w:ascii="Times New Roman" w:hAnsi="Times New Roman" w:eastAsia="SimSun" w:cs="Times New Roman"/>
          <w:i/>
          <w:iCs/>
          <w:color w:val="000000"/>
          <w:kern w:val="0"/>
          <w:sz w:val="24"/>
          <w:szCs w:val="24"/>
          <w:u w:val="none"/>
          <w:lang w:val="en-US" w:eastAsia="zh-CN" w:bidi="ar"/>
        </w:rPr>
        <w:t xml:space="preserve">Rhipicephalus </w:t>
      </w:r>
      <w:r>
        <w:rPr>
          <w:rFonts w:hint="default" w:ascii="Times New Roman" w:hAnsi="Times New Roman" w:eastAsia="SimSun" w:cs="Times New Roman"/>
          <w:i w:val="0"/>
          <w:iCs w:val="0"/>
          <w:color w:val="000000"/>
          <w:kern w:val="0"/>
          <w:sz w:val="24"/>
          <w:szCs w:val="24"/>
          <w:u w:val="none"/>
          <w:lang w:val="en-US" w:eastAsia="zh-CN" w:bidi="ar"/>
        </w:rPr>
        <w:t>sp.</w:t>
      </w:r>
      <w:r>
        <w:rPr>
          <w:rFonts w:ascii="Arial" w:hAnsi="Arial" w:eastAsia="Times New Roman" w:cs="Arial"/>
          <w:color w:val="000000"/>
          <w:sz w:val="24"/>
          <w:szCs w:val="24"/>
        </w:rPr>
        <w:t xml:space="preserve">, were observed with a prevalence of </w:t>
      </w:r>
      <w:r>
        <w:rPr>
          <w:rFonts w:hint="default" w:ascii="Arial" w:hAnsi="Arial" w:eastAsia="Times New Roman" w:cs="Arial"/>
          <w:color w:val="000000"/>
          <w:sz w:val="24"/>
          <w:szCs w:val="24"/>
          <w:lang w:val="en-US"/>
        </w:rPr>
        <w:t xml:space="preserve"> 1.05% each.</w:t>
      </w:r>
    </w:p>
    <w:p w14:paraId="44EC0B07">
      <w:pPr>
        <w:spacing w:line="480" w:lineRule="auto"/>
        <w:jc w:val="both"/>
        <w:rPr>
          <w:rFonts w:ascii="Arial" w:hAnsi="Arial" w:cs="Arial"/>
          <w:sz w:val="24"/>
          <w:szCs w:val="24"/>
          <w:lang w:val="en-GB"/>
        </w:rPr>
      </w:pPr>
      <w:r>
        <w:rPr>
          <w:rFonts w:ascii="Arial" w:hAnsi="Arial" w:cs="Arial"/>
          <w:b/>
          <w:sz w:val="24"/>
          <w:szCs w:val="24"/>
          <w:lang w:val="en-GB"/>
        </w:rPr>
        <w:t>Table 1:</w:t>
      </w:r>
      <w:r>
        <w:rPr>
          <w:rFonts w:ascii="Arial" w:hAnsi="Arial" w:cs="Arial"/>
          <w:sz w:val="24"/>
          <w:szCs w:val="24"/>
          <w:lang w:val="en-GB"/>
        </w:rPr>
        <w:t xml:space="preserve"> Tick species relative abundance</w:t>
      </w:r>
      <w:r>
        <w:rPr>
          <w:rFonts w:hint="default" w:ascii="Arial" w:hAnsi="Arial" w:cs="Arial"/>
          <w:sz w:val="24"/>
          <w:szCs w:val="24"/>
          <w:lang w:val="en-US"/>
        </w:rPr>
        <w:t xml:space="preserve"> (%)</w:t>
      </w:r>
      <w:r>
        <w:rPr>
          <w:rFonts w:ascii="Arial" w:hAnsi="Arial" w:cs="Arial"/>
          <w:sz w:val="24"/>
          <w:szCs w:val="24"/>
          <w:lang w:val="en-GB"/>
        </w:rPr>
        <w:t xml:space="preserve"> in all cattle predilection site investigated.</w:t>
      </w:r>
    </w:p>
    <w:tbl>
      <w:tblPr>
        <w:tblStyle w:val="5"/>
        <w:tblW w:w="9095" w:type="dxa"/>
        <w:tblInd w:w="96"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43"/>
        <w:gridCol w:w="908"/>
        <w:gridCol w:w="898"/>
        <w:gridCol w:w="944"/>
        <w:gridCol w:w="1060"/>
        <w:gridCol w:w="1349"/>
        <w:gridCol w:w="965"/>
        <w:gridCol w:w="1228"/>
      </w:tblGrid>
      <w:tr w14:paraId="2E4C91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1743" w:type="dxa"/>
            <w:tcBorders>
              <w:left w:val="nil"/>
              <w:bottom w:val="single" w:color="auto" w:sz="4" w:space="0"/>
              <w:right w:val="nil"/>
            </w:tcBorders>
            <w:shd w:val="clear" w:color="auto" w:fill="auto"/>
            <w:noWrap/>
            <w:vAlign w:val="center"/>
          </w:tcPr>
          <w:p w14:paraId="7D036290">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p>
        </w:tc>
        <w:tc>
          <w:tcPr>
            <w:tcW w:w="7352" w:type="dxa"/>
            <w:gridSpan w:val="7"/>
            <w:tcBorders>
              <w:left w:val="nil"/>
              <w:bottom w:val="single" w:color="auto" w:sz="4" w:space="0"/>
              <w:right w:val="nil"/>
            </w:tcBorders>
            <w:shd w:val="clear" w:color="auto" w:fill="auto"/>
            <w:noWrap/>
            <w:vAlign w:val="center"/>
          </w:tcPr>
          <w:p w14:paraId="471BB4BB">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r>
              <w:rPr>
                <w:rFonts w:hint="default" w:ascii="Times New Roman" w:hAnsi="Times New Roman" w:eastAsia="SimSun" w:cs="Times New Roman"/>
                <w:b/>
                <w:bCs/>
                <w:i w:val="0"/>
                <w:iCs w:val="0"/>
                <w:color w:val="000000"/>
                <w:kern w:val="0"/>
                <w:sz w:val="24"/>
                <w:szCs w:val="24"/>
                <w:u w:val="none"/>
                <w:lang w:val="en-US" w:eastAsia="zh-CN" w:bidi="ar"/>
              </w:rPr>
              <w:t>Predilection sites (%)</w:t>
            </w:r>
          </w:p>
        </w:tc>
      </w:tr>
      <w:tr w14:paraId="7DBC054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1743" w:type="dxa"/>
            <w:tcBorders>
              <w:left w:val="nil"/>
              <w:bottom w:val="single" w:color="auto" w:sz="4" w:space="0"/>
              <w:right w:val="nil"/>
            </w:tcBorders>
            <w:shd w:val="clear" w:color="auto" w:fill="auto"/>
            <w:noWrap/>
            <w:vAlign w:val="center"/>
          </w:tcPr>
          <w:p w14:paraId="47D7EA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Predilection</w:t>
            </w:r>
          </w:p>
        </w:tc>
        <w:tc>
          <w:tcPr>
            <w:tcW w:w="908" w:type="dxa"/>
            <w:tcBorders>
              <w:left w:val="nil"/>
              <w:bottom w:val="single" w:color="auto" w:sz="4" w:space="0"/>
              <w:right w:val="nil"/>
            </w:tcBorders>
            <w:shd w:val="clear" w:color="auto" w:fill="auto"/>
            <w:noWrap/>
            <w:vAlign w:val="center"/>
          </w:tcPr>
          <w:p w14:paraId="5005DB1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w:t>
            </w:r>
          </w:p>
        </w:tc>
        <w:tc>
          <w:tcPr>
            <w:tcW w:w="898" w:type="dxa"/>
            <w:tcBorders>
              <w:left w:val="nil"/>
              <w:bottom w:val="single" w:color="auto" w:sz="4" w:space="0"/>
              <w:right w:val="nil"/>
            </w:tcBorders>
            <w:shd w:val="clear" w:color="auto" w:fill="auto"/>
            <w:noWrap/>
            <w:vAlign w:val="center"/>
          </w:tcPr>
          <w:p w14:paraId="0F00F70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w:t>
            </w:r>
          </w:p>
        </w:tc>
        <w:tc>
          <w:tcPr>
            <w:tcW w:w="944" w:type="dxa"/>
            <w:tcBorders>
              <w:left w:val="nil"/>
              <w:bottom w:val="single" w:color="auto" w:sz="4" w:space="0"/>
              <w:right w:val="nil"/>
            </w:tcBorders>
            <w:shd w:val="clear" w:color="auto" w:fill="auto"/>
            <w:noWrap/>
            <w:vAlign w:val="center"/>
          </w:tcPr>
          <w:p w14:paraId="02CB255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w:t>
            </w:r>
          </w:p>
        </w:tc>
        <w:tc>
          <w:tcPr>
            <w:tcW w:w="1060" w:type="dxa"/>
            <w:tcBorders>
              <w:left w:val="nil"/>
              <w:bottom w:val="single" w:color="auto" w:sz="4" w:space="0"/>
              <w:right w:val="nil"/>
            </w:tcBorders>
            <w:shd w:val="clear" w:color="auto" w:fill="auto"/>
            <w:noWrap/>
            <w:vAlign w:val="center"/>
          </w:tcPr>
          <w:p w14:paraId="3765AD8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w:t>
            </w:r>
          </w:p>
        </w:tc>
        <w:tc>
          <w:tcPr>
            <w:tcW w:w="1349" w:type="dxa"/>
            <w:tcBorders>
              <w:left w:val="nil"/>
              <w:bottom w:val="single" w:color="auto" w:sz="4" w:space="0"/>
              <w:right w:val="nil"/>
            </w:tcBorders>
            <w:shd w:val="clear" w:color="auto" w:fill="auto"/>
            <w:noWrap/>
            <w:vAlign w:val="center"/>
          </w:tcPr>
          <w:p w14:paraId="280BB0B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Shoulder</w:t>
            </w:r>
          </w:p>
        </w:tc>
        <w:tc>
          <w:tcPr>
            <w:tcW w:w="965" w:type="dxa"/>
            <w:tcBorders>
              <w:left w:val="nil"/>
              <w:bottom w:val="single" w:color="auto" w:sz="4" w:space="0"/>
              <w:right w:val="nil"/>
            </w:tcBorders>
            <w:shd w:val="clear" w:color="auto" w:fill="auto"/>
            <w:noWrap/>
            <w:vAlign w:val="center"/>
          </w:tcPr>
          <w:p w14:paraId="31C2D9F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w:t>
            </w:r>
          </w:p>
        </w:tc>
        <w:tc>
          <w:tcPr>
            <w:tcW w:w="1228" w:type="dxa"/>
            <w:tcBorders>
              <w:left w:val="nil"/>
              <w:bottom w:val="single" w:color="auto" w:sz="4" w:space="0"/>
              <w:right w:val="nil"/>
            </w:tcBorders>
            <w:shd w:val="clear" w:color="auto" w:fill="auto"/>
            <w:noWrap/>
            <w:vAlign w:val="center"/>
          </w:tcPr>
          <w:p w14:paraId="4B5048B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Overall</w:t>
            </w:r>
          </w:p>
        </w:tc>
      </w:tr>
      <w:tr w14:paraId="482FBEC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4" w:hRule="atLeast"/>
        </w:trPr>
        <w:tc>
          <w:tcPr>
            <w:tcW w:w="1743" w:type="dxa"/>
            <w:tcBorders>
              <w:top w:val="single" w:color="auto" w:sz="4" w:space="0"/>
              <w:left w:val="nil"/>
              <w:bottom w:val="nil"/>
              <w:right w:val="nil"/>
            </w:tcBorders>
            <w:shd w:val="clear" w:color="auto" w:fill="auto"/>
            <w:noWrap/>
            <w:vAlign w:val="center"/>
          </w:tcPr>
          <w:p w14:paraId="453F03FC">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A. variegatum</w:t>
            </w:r>
          </w:p>
        </w:tc>
        <w:tc>
          <w:tcPr>
            <w:tcW w:w="908" w:type="dxa"/>
            <w:tcBorders>
              <w:top w:val="single" w:color="auto" w:sz="4" w:space="0"/>
              <w:left w:val="nil"/>
              <w:bottom w:val="nil"/>
              <w:right w:val="nil"/>
            </w:tcBorders>
            <w:shd w:val="clear" w:color="auto" w:fill="auto"/>
            <w:noWrap/>
            <w:vAlign w:val="center"/>
          </w:tcPr>
          <w:p w14:paraId="7C3520B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0.36</w:t>
            </w:r>
          </w:p>
        </w:tc>
        <w:tc>
          <w:tcPr>
            <w:tcW w:w="898" w:type="dxa"/>
            <w:tcBorders>
              <w:top w:val="single" w:color="auto" w:sz="4" w:space="0"/>
              <w:left w:val="nil"/>
              <w:bottom w:val="nil"/>
              <w:right w:val="nil"/>
            </w:tcBorders>
            <w:shd w:val="clear" w:color="auto" w:fill="auto"/>
            <w:noWrap/>
            <w:vAlign w:val="center"/>
          </w:tcPr>
          <w:p w14:paraId="14E0F99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c>
          <w:tcPr>
            <w:tcW w:w="944" w:type="dxa"/>
            <w:tcBorders>
              <w:top w:val="single" w:color="auto" w:sz="4" w:space="0"/>
              <w:left w:val="nil"/>
              <w:bottom w:val="nil"/>
              <w:right w:val="nil"/>
            </w:tcBorders>
            <w:shd w:val="clear" w:color="auto" w:fill="auto"/>
            <w:noWrap/>
            <w:vAlign w:val="center"/>
          </w:tcPr>
          <w:p w14:paraId="7F9D18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0.78</w:t>
            </w:r>
          </w:p>
        </w:tc>
        <w:tc>
          <w:tcPr>
            <w:tcW w:w="1060" w:type="dxa"/>
            <w:tcBorders>
              <w:top w:val="single" w:color="auto" w:sz="4" w:space="0"/>
              <w:left w:val="nil"/>
              <w:bottom w:val="nil"/>
              <w:right w:val="nil"/>
            </w:tcBorders>
            <w:shd w:val="clear" w:color="auto" w:fill="auto"/>
            <w:noWrap/>
            <w:vAlign w:val="center"/>
          </w:tcPr>
          <w:p w14:paraId="4F34861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349" w:type="dxa"/>
            <w:tcBorders>
              <w:top w:val="single" w:color="auto" w:sz="4" w:space="0"/>
              <w:left w:val="nil"/>
              <w:bottom w:val="nil"/>
              <w:right w:val="nil"/>
            </w:tcBorders>
            <w:shd w:val="clear" w:color="auto" w:fill="auto"/>
            <w:noWrap/>
            <w:vAlign w:val="center"/>
          </w:tcPr>
          <w:p w14:paraId="734D5F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single" w:color="auto" w:sz="4" w:space="0"/>
              <w:left w:val="nil"/>
              <w:bottom w:val="nil"/>
              <w:right w:val="nil"/>
            </w:tcBorders>
            <w:shd w:val="clear" w:color="auto" w:fill="auto"/>
            <w:noWrap/>
            <w:vAlign w:val="center"/>
          </w:tcPr>
          <w:p w14:paraId="30DFFC8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0.78</w:t>
            </w:r>
          </w:p>
        </w:tc>
        <w:tc>
          <w:tcPr>
            <w:tcW w:w="1228" w:type="dxa"/>
            <w:tcBorders>
              <w:top w:val="single" w:color="auto" w:sz="4" w:space="0"/>
              <w:left w:val="nil"/>
              <w:bottom w:val="nil"/>
              <w:right w:val="nil"/>
            </w:tcBorders>
            <w:shd w:val="clear" w:color="auto" w:fill="auto"/>
            <w:noWrap/>
            <w:vAlign w:val="center"/>
          </w:tcPr>
          <w:p w14:paraId="0E526A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2.44</w:t>
            </w:r>
          </w:p>
        </w:tc>
      </w:tr>
      <w:tr w14:paraId="1B34E62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556C85C7">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 xml:space="preserve">A. </w:t>
            </w:r>
            <w:r>
              <w:rPr>
                <w:rFonts w:hint="default" w:ascii="Times New Roman" w:hAnsi="Times New Roman" w:eastAsia="SimSun"/>
                <w:b/>
                <w:bCs/>
                <w:i/>
                <w:iCs/>
                <w:color w:val="000000"/>
                <w:kern w:val="0"/>
                <w:sz w:val="24"/>
                <w:szCs w:val="24"/>
                <w:u w:val="none"/>
                <w:lang w:val="en-US" w:eastAsia="zh-CN"/>
              </w:rPr>
              <w:t>cohaerens</w:t>
            </w:r>
          </w:p>
        </w:tc>
        <w:tc>
          <w:tcPr>
            <w:tcW w:w="908" w:type="dxa"/>
            <w:tcBorders>
              <w:top w:val="nil"/>
              <w:left w:val="nil"/>
              <w:bottom w:val="nil"/>
              <w:right w:val="nil"/>
            </w:tcBorders>
            <w:shd w:val="clear" w:color="auto" w:fill="auto"/>
            <w:noWrap/>
            <w:vAlign w:val="center"/>
          </w:tcPr>
          <w:p w14:paraId="21E2BF9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788C952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44" w:type="dxa"/>
            <w:tcBorders>
              <w:top w:val="nil"/>
              <w:left w:val="nil"/>
              <w:bottom w:val="nil"/>
              <w:right w:val="nil"/>
            </w:tcBorders>
            <w:shd w:val="clear" w:color="auto" w:fill="auto"/>
            <w:noWrap/>
            <w:vAlign w:val="center"/>
          </w:tcPr>
          <w:p w14:paraId="3F41F88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060" w:type="dxa"/>
            <w:tcBorders>
              <w:top w:val="nil"/>
              <w:left w:val="nil"/>
              <w:bottom w:val="nil"/>
              <w:right w:val="nil"/>
            </w:tcBorders>
            <w:shd w:val="clear" w:color="auto" w:fill="auto"/>
            <w:noWrap/>
            <w:vAlign w:val="center"/>
          </w:tcPr>
          <w:p w14:paraId="0195C4F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349" w:type="dxa"/>
            <w:tcBorders>
              <w:top w:val="nil"/>
              <w:left w:val="nil"/>
              <w:bottom w:val="nil"/>
              <w:right w:val="nil"/>
            </w:tcBorders>
            <w:shd w:val="clear" w:color="auto" w:fill="auto"/>
            <w:noWrap/>
            <w:vAlign w:val="center"/>
          </w:tcPr>
          <w:p w14:paraId="20E189C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6AB68EB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2852F81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0.47</w:t>
            </w:r>
          </w:p>
        </w:tc>
      </w:tr>
      <w:tr w14:paraId="0DB9A9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5501A5D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annulatus</w:t>
            </w:r>
          </w:p>
        </w:tc>
        <w:tc>
          <w:tcPr>
            <w:tcW w:w="908" w:type="dxa"/>
            <w:tcBorders>
              <w:top w:val="nil"/>
              <w:left w:val="nil"/>
              <w:bottom w:val="nil"/>
              <w:right w:val="nil"/>
            </w:tcBorders>
            <w:shd w:val="clear" w:color="auto" w:fill="auto"/>
            <w:noWrap/>
            <w:vAlign w:val="center"/>
          </w:tcPr>
          <w:p w14:paraId="59DDBA9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11.04</w:t>
            </w:r>
          </w:p>
        </w:tc>
        <w:tc>
          <w:tcPr>
            <w:tcW w:w="898" w:type="dxa"/>
            <w:tcBorders>
              <w:top w:val="nil"/>
              <w:left w:val="nil"/>
              <w:bottom w:val="nil"/>
              <w:right w:val="nil"/>
            </w:tcBorders>
            <w:shd w:val="clear" w:color="auto" w:fill="auto"/>
            <w:noWrap/>
            <w:vAlign w:val="center"/>
          </w:tcPr>
          <w:p w14:paraId="0E16E5D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6.89</w:t>
            </w:r>
          </w:p>
        </w:tc>
        <w:tc>
          <w:tcPr>
            <w:tcW w:w="944" w:type="dxa"/>
            <w:tcBorders>
              <w:top w:val="nil"/>
              <w:left w:val="nil"/>
              <w:bottom w:val="nil"/>
              <w:right w:val="nil"/>
            </w:tcBorders>
            <w:shd w:val="clear" w:color="auto" w:fill="auto"/>
            <w:noWrap/>
            <w:vAlign w:val="center"/>
          </w:tcPr>
          <w:p w14:paraId="7896AF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9.07</w:t>
            </w:r>
          </w:p>
        </w:tc>
        <w:tc>
          <w:tcPr>
            <w:tcW w:w="1060" w:type="dxa"/>
            <w:tcBorders>
              <w:top w:val="nil"/>
              <w:left w:val="nil"/>
              <w:bottom w:val="nil"/>
              <w:right w:val="nil"/>
            </w:tcBorders>
            <w:shd w:val="clear" w:color="auto" w:fill="auto"/>
            <w:noWrap/>
            <w:vAlign w:val="center"/>
          </w:tcPr>
          <w:p w14:paraId="7ABC6C6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6.11</w:t>
            </w:r>
          </w:p>
        </w:tc>
        <w:tc>
          <w:tcPr>
            <w:tcW w:w="1349" w:type="dxa"/>
            <w:tcBorders>
              <w:top w:val="nil"/>
              <w:left w:val="nil"/>
              <w:bottom w:val="nil"/>
              <w:right w:val="nil"/>
            </w:tcBorders>
            <w:shd w:val="clear" w:color="auto" w:fill="auto"/>
            <w:noWrap/>
            <w:vAlign w:val="center"/>
          </w:tcPr>
          <w:p w14:paraId="0B5699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c>
          <w:tcPr>
            <w:tcW w:w="965" w:type="dxa"/>
            <w:tcBorders>
              <w:top w:val="nil"/>
              <w:left w:val="nil"/>
              <w:bottom w:val="nil"/>
              <w:right w:val="nil"/>
            </w:tcBorders>
            <w:shd w:val="clear" w:color="auto" w:fill="auto"/>
            <w:noWrap/>
            <w:vAlign w:val="center"/>
          </w:tcPr>
          <w:p w14:paraId="0A977A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8.19</w:t>
            </w:r>
          </w:p>
        </w:tc>
        <w:tc>
          <w:tcPr>
            <w:tcW w:w="1228" w:type="dxa"/>
            <w:tcBorders>
              <w:top w:val="nil"/>
              <w:left w:val="nil"/>
              <w:bottom w:val="nil"/>
              <w:right w:val="nil"/>
            </w:tcBorders>
            <w:shd w:val="clear" w:color="auto" w:fill="auto"/>
            <w:noWrap/>
            <w:vAlign w:val="center"/>
          </w:tcPr>
          <w:p w14:paraId="43FE5C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42.38</w:t>
            </w:r>
          </w:p>
        </w:tc>
      </w:tr>
      <w:tr w14:paraId="0952489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4A31C1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decoloratus</w:t>
            </w:r>
          </w:p>
        </w:tc>
        <w:tc>
          <w:tcPr>
            <w:tcW w:w="908" w:type="dxa"/>
            <w:tcBorders>
              <w:top w:val="nil"/>
              <w:left w:val="nil"/>
              <w:bottom w:val="nil"/>
              <w:right w:val="nil"/>
            </w:tcBorders>
            <w:shd w:val="clear" w:color="auto" w:fill="auto"/>
            <w:noWrap/>
            <w:vAlign w:val="center"/>
          </w:tcPr>
          <w:p w14:paraId="4A9FBD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6.79</w:t>
            </w:r>
          </w:p>
        </w:tc>
        <w:tc>
          <w:tcPr>
            <w:tcW w:w="898" w:type="dxa"/>
            <w:tcBorders>
              <w:top w:val="nil"/>
              <w:left w:val="nil"/>
              <w:bottom w:val="nil"/>
              <w:right w:val="nil"/>
            </w:tcBorders>
            <w:shd w:val="clear" w:color="auto" w:fill="auto"/>
            <w:noWrap/>
            <w:vAlign w:val="center"/>
          </w:tcPr>
          <w:p w14:paraId="444363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5.18</w:t>
            </w:r>
          </w:p>
        </w:tc>
        <w:tc>
          <w:tcPr>
            <w:tcW w:w="944" w:type="dxa"/>
            <w:tcBorders>
              <w:top w:val="nil"/>
              <w:left w:val="nil"/>
              <w:bottom w:val="nil"/>
              <w:right w:val="nil"/>
            </w:tcBorders>
            <w:shd w:val="clear" w:color="auto" w:fill="auto"/>
            <w:noWrap/>
            <w:vAlign w:val="center"/>
          </w:tcPr>
          <w:p w14:paraId="58C970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7.25</w:t>
            </w:r>
          </w:p>
        </w:tc>
        <w:tc>
          <w:tcPr>
            <w:tcW w:w="1060" w:type="dxa"/>
            <w:tcBorders>
              <w:top w:val="nil"/>
              <w:left w:val="nil"/>
              <w:bottom w:val="nil"/>
              <w:right w:val="nil"/>
            </w:tcBorders>
            <w:shd w:val="clear" w:color="auto" w:fill="auto"/>
            <w:noWrap/>
            <w:vAlign w:val="center"/>
          </w:tcPr>
          <w:p w14:paraId="4F7762C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3.78</w:t>
            </w:r>
          </w:p>
        </w:tc>
        <w:tc>
          <w:tcPr>
            <w:tcW w:w="1349" w:type="dxa"/>
            <w:tcBorders>
              <w:top w:val="nil"/>
              <w:left w:val="nil"/>
              <w:bottom w:val="nil"/>
              <w:right w:val="nil"/>
            </w:tcBorders>
            <w:shd w:val="clear" w:color="auto" w:fill="auto"/>
            <w:noWrap/>
            <w:vAlign w:val="center"/>
          </w:tcPr>
          <w:p w14:paraId="6D7037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2.28</w:t>
            </w:r>
          </w:p>
        </w:tc>
        <w:tc>
          <w:tcPr>
            <w:tcW w:w="965" w:type="dxa"/>
            <w:tcBorders>
              <w:top w:val="nil"/>
              <w:left w:val="nil"/>
              <w:bottom w:val="nil"/>
              <w:right w:val="nil"/>
            </w:tcBorders>
            <w:shd w:val="clear" w:color="auto" w:fill="auto"/>
            <w:noWrap/>
            <w:vAlign w:val="center"/>
          </w:tcPr>
          <w:p w14:paraId="3D528E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4.09</w:t>
            </w:r>
          </w:p>
        </w:tc>
        <w:tc>
          <w:tcPr>
            <w:tcW w:w="1228" w:type="dxa"/>
            <w:tcBorders>
              <w:top w:val="nil"/>
              <w:left w:val="nil"/>
              <w:bottom w:val="nil"/>
              <w:right w:val="nil"/>
            </w:tcBorders>
            <w:shd w:val="clear" w:color="auto" w:fill="auto"/>
            <w:noWrap/>
            <w:vAlign w:val="center"/>
          </w:tcPr>
          <w:p w14:paraId="5C3FB9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29.38</w:t>
            </w:r>
          </w:p>
        </w:tc>
      </w:tr>
      <w:tr w14:paraId="5A2D5C1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FFB278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geigyi</w:t>
            </w:r>
          </w:p>
        </w:tc>
        <w:tc>
          <w:tcPr>
            <w:tcW w:w="908" w:type="dxa"/>
            <w:tcBorders>
              <w:top w:val="nil"/>
              <w:left w:val="nil"/>
              <w:bottom w:val="nil"/>
              <w:right w:val="nil"/>
            </w:tcBorders>
            <w:shd w:val="clear" w:color="auto" w:fill="auto"/>
            <w:noWrap/>
            <w:vAlign w:val="center"/>
          </w:tcPr>
          <w:p w14:paraId="21F60C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3.89</w:t>
            </w:r>
          </w:p>
        </w:tc>
        <w:tc>
          <w:tcPr>
            <w:tcW w:w="898" w:type="dxa"/>
            <w:tcBorders>
              <w:top w:val="nil"/>
              <w:left w:val="nil"/>
              <w:bottom w:val="nil"/>
              <w:right w:val="nil"/>
            </w:tcBorders>
            <w:shd w:val="clear" w:color="auto" w:fill="auto"/>
            <w:noWrap/>
            <w:vAlign w:val="center"/>
          </w:tcPr>
          <w:p w14:paraId="1DD29E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3.83</w:t>
            </w:r>
          </w:p>
        </w:tc>
        <w:tc>
          <w:tcPr>
            <w:tcW w:w="944" w:type="dxa"/>
            <w:tcBorders>
              <w:top w:val="nil"/>
              <w:left w:val="nil"/>
              <w:bottom w:val="nil"/>
              <w:right w:val="nil"/>
            </w:tcBorders>
            <w:shd w:val="clear" w:color="auto" w:fill="auto"/>
            <w:noWrap/>
            <w:vAlign w:val="center"/>
          </w:tcPr>
          <w:p w14:paraId="407EE50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4.15</w:t>
            </w:r>
          </w:p>
        </w:tc>
        <w:tc>
          <w:tcPr>
            <w:tcW w:w="1060" w:type="dxa"/>
            <w:tcBorders>
              <w:top w:val="nil"/>
              <w:left w:val="nil"/>
              <w:bottom w:val="nil"/>
              <w:right w:val="nil"/>
            </w:tcBorders>
            <w:shd w:val="clear" w:color="auto" w:fill="auto"/>
            <w:noWrap/>
            <w:vAlign w:val="center"/>
          </w:tcPr>
          <w:p w14:paraId="3F7D8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3.99</w:t>
            </w:r>
          </w:p>
        </w:tc>
        <w:tc>
          <w:tcPr>
            <w:tcW w:w="1349" w:type="dxa"/>
            <w:tcBorders>
              <w:top w:val="nil"/>
              <w:left w:val="nil"/>
              <w:bottom w:val="nil"/>
              <w:right w:val="nil"/>
            </w:tcBorders>
            <w:shd w:val="clear" w:color="auto" w:fill="auto"/>
            <w:noWrap/>
            <w:vAlign w:val="center"/>
          </w:tcPr>
          <w:p w14:paraId="787D26C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1.45</w:t>
            </w:r>
          </w:p>
        </w:tc>
        <w:tc>
          <w:tcPr>
            <w:tcW w:w="965" w:type="dxa"/>
            <w:tcBorders>
              <w:top w:val="nil"/>
              <w:left w:val="nil"/>
              <w:bottom w:val="nil"/>
              <w:right w:val="nil"/>
            </w:tcBorders>
            <w:shd w:val="clear" w:color="auto" w:fill="auto"/>
            <w:noWrap/>
            <w:vAlign w:val="center"/>
          </w:tcPr>
          <w:p w14:paraId="4694575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3.63</w:t>
            </w:r>
          </w:p>
        </w:tc>
        <w:tc>
          <w:tcPr>
            <w:tcW w:w="1228" w:type="dxa"/>
            <w:tcBorders>
              <w:top w:val="nil"/>
              <w:left w:val="nil"/>
              <w:bottom w:val="nil"/>
              <w:right w:val="nil"/>
            </w:tcBorders>
            <w:shd w:val="clear" w:color="auto" w:fill="auto"/>
            <w:noWrap/>
            <w:vAlign w:val="center"/>
          </w:tcPr>
          <w:p w14:paraId="03952DA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20.93</w:t>
            </w:r>
          </w:p>
        </w:tc>
      </w:tr>
      <w:tr w14:paraId="5DE4FD1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02B89A0E">
            <w:pPr>
              <w:keepNext w:val="0"/>
              <w:keepLines w:val="0"/>
              <w:widowControl/>
              <w:numPr>
                <w:ilvl w:val="0"/>
                <w:numId w:val="2"/>
              </w:numPr>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leachi</w:t>
            </w:r>
          </w:p>
        </w:tc>
        <w:tc>
          <w:tcPr>
            <w:tcW w:w="908" w:type="dxa"/>
            <w:tcBorders>
              <w:top w:val="nil"/>
              <w:left w:val="nil"/>
              <w:bottom w:val="nil"/>
              <w:right w:val="nil"/>
            </w:tcBorders>
            <w:shd w:val="clear" w:color="auto" w:fill="auto"/>
            <w:noWrap/>
            <w:vAlign w:val="center"/>
          </w:tcPr>
          <w:p w14:paraId="2507A6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13EBFF6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44B8FBB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09AF584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4D1C7B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362FF9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27AB4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510EFA2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6217B77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lunulatus</w:t>
            </w:r>
          </w:p>
        </w:tc>
        <w:tc>
          <w:tcPr>
            <w:tcW w:w="908" w:type="dxa"/>
            <w:tcBorders>
              <w:top w:val="nil"/>
              <w:left w:val="nil"/>
              <w:bottom w:val="nil"/>
              <w:right w:val="nil"/>
            </w:tcBorders>
            <w:shd w:val="clear" w:color="auto" w:fill="auto"/>
            <w:noWrap/>
            <w:vAlign w:val="center"/>
          </w:tcPr>
          <w:p w14:paraId="2A2DA0F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898" w:type="dxa"/>
            <w:tcBorders>
              <w:top w:val="nil"/>
              <w:left w:val="nil"/>
              <w:bottom w:val="nil"/>
              <w:right w:val="nil"/>
            </w:tcBorders>
            <w:shd w:val="clear" w:color="auto" w:fill="auto"/>
            <w:noWrap/>
            <w:vAlign w:val="center"/>
          </w:tcPr>
          <w:p w14:paraId="6763F61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0.47</w:t>
            </w:r>
          </w:p>
        </w:tc>
        <w:tc>
          <w:tcPr>
            <w:tcW w:w="944" w:type="dxa"/>
            <w:tcBorders>
              <w:top w:val="nil"/>
              <w:left w:val="nil"/>
              <w:bottom w:val="nil"/>
              <w:right w:val="nil"/>
            </w:tcBorders>
            <w:shd w:val="clear" w:color="auto" w:fill="auto"/>
            <w:noWrap/>
            <w:vAlign w:val="center"/>
          </w:tcPr>
          <w:p w14:paraId="690EB3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060" w:type="dxa"/>
            <w:tcBorders>
              <w:top w:val="nil"/>
              <w:left w:val="nil"/>
              <w:bottom w:val="nil"/>
              <w:right w:val="nil"/>
            </w:tcBorders>
            <w:shd w:val="clear" w:color="auto" w:fill="auto"/>
            <w:noWrap/>
            <w:vAlign w:val="center"/>
          </w:tcPr>
          <w:p w14:paraId="6CB2A44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3D5235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965" w:type="dxa"/>
            <w:tcBorders>
              <w:top w:val="nil"/>
              <w:left w:val="nil"/>
              <w:bottom w:val="nil"/>
              <w:right w:val="nil"/>
            </w:tcBorders>
            <w:shd w:val="clear" w:color="auto" w:fill="auto"/>
            <w:noWrap/>
            <w:vAlign w:val="center"/>
          </w:tcPr>
          <w:p w14:paraId="1C2010D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0.36</w:t>
            </w:r>
          </w:p>
        </w:tc>
        <w:tc>
          <w:tcPr>
            <w:tcW w:w="1228" w:type="dxa"/>
            <w:tcBorders>
              <w:top w:val="nil"/>
              <w:left w:val="nil"/>
              <w:bottom w:val="nil"/>
              <w:right w:val="nil"/>
            </w:tcBorders>
            <w:shd w:val="clear" w:color="auto" w:fill="auto"/>
            <w:noWrap/>
            <w:vAlign w:val="center"/>
          </w:tcPr>
          <w:p w14:paraId="09CE7E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1.35</w:t>
            </w:r>
          </w:p>
        </w:tc>
      </w:tr>
      <w:tr w14:paraId="778A90B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364126E">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muhsamae</w:t>
            </w:r>
          </w:p>
        </w:tc>
        <w:tc>
          <w:tcPr>
            <w:tcW w:w="908" w:type="dxa"/>
            <w:tcBorders>
              <w:top w:val="nil"/>
              <w:left w:val="nil"/>
              <w:bottom w:val="nil"/>
              <w:right w:val="nil"/>
            </w:tcBorders>
            <w:shd w:val="clear" w:color="auto" w:fill="auto"/>
            <w:noWrap/>
            <w:vAlign w:val="center"/>
          </w:tcPr>
          <w:p w14:paraId="2C5777D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725BF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0.26</w:t>
            </w:r>
          </w:p>
        </w:tc>
        <w:tc>
          <w:tcPr>
            <w:tcW w:w="944" w:type="dxa"/>
            <w:tcBorders>
              <w:top w:val="nil"/>
              <w:left w:val="nil"/>
              <w:bottom w:val="nil"/>
              <w:right w:val="nil"/>
            </w:tcBorders>
            <w:shd w:val="clear" w:color="auto" w:fill="auto"/>
            <w:noWrap/>
            <w:vAlign w:val="center"/>
          </w:tcPr>
          <w:p w14:paraId="6C1AB23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060" w:type="dxa"/>
            <w:tcBorders>
              <w:top w:val="nil"/>
              <w:left w:val="nil"/>
              <w:bottom w:val="nil"/>
              <w:right w:val="nil"/>
            </w:tcBorders>
            <w:shd w:val="clear" w:color="auto" w:fill="auto"/>
            <w:noWrap/>
            <w:vAlign w:val="center"/>
          </w:tcPr>
          <w:p w14:paraId="743FB1B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5BAA475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D12BD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0DBACD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0.52</w:t>
            </w:r>
          </w:p>
        </w:tc>
      </w:tr>
      <w:tr w14:paraId="3DE1D1E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23667C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senegalensis</w:t>
            </w:r>
          </w:p>
        </w:tc>
        <w:tc>
          <w:tcPr>
            <w:tcW w:w="908" w:type="dxa"/>
            <w:tcBorders>
              <w:top w:val="nil"/>
              <w:left w:val="nil"/>
              <w:bottom w:val="nil"/>
              <w:right w:val="nil"/>
            </w:tcBorders>
            <w:shd w:val="clear" w:color="auto" w:fill="auto"/>
            <w:noWrap/>
            <w:vAlign w:val="center"/>
          </w:tcPr>
          <w:p w14:paraId="35B3AD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50F40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44" w:type="dxa"/>
            <w:tcBorders>
              <w:top w:val="nil"/>
              <w:left w:val="nil"/>
              <w:bottom w:val="nil"/>
              <w:right w:val="nil"/>
            </w:tcBorders>
            <w:shd w:val="clear" w:color="auto" w:fill="auto"/>
            <w:noWrap/>
            <w:vAlign w:val="center"/>
          </w:tcPr>
          <w:p w14:paraId="275ED7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A75B9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1D3680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4FAAA3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19C9EE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r>
      <w:tr w14:paraId="7F1A4B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719B6865">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 xml:space="preserve">Rhipicephalus </w:t>
            </w:r>
            <w:r>
              <w:rPr>
                <w:rFonts w:hint="default" w:ascii="Times New Roman" w:hAnsi="Times New Roman" w:eastAsia="SimSun" w:cs="Times New Roman"/>
                <w:b/>
                <w:bCs/>
                <w:i w:val="0"/>
                <w:iCs w:val="0"/>
                <w:color w:val="000000"/>
                <w:kern w:val="0"/>
                <w:sz w:val="24"/>
                <w:szCs w:val="24"/>
                <w:u w:val="none"/>
                <w:lang w:val="en-US" w:eastAsia="zh-CN" w:bidi="ar"/>
              </w:rPr>
              <w:t>sp.</w:t>
            </w:r>
          </w:p>
        </w:tc>
        <w:tc>
          <w:tcPr>
            <w:tcW w:w="908" w:type="dxa"/>
            <w:tcBorders>
              <w:top w:val="nil"/>
              <w:left w:val="nil"/>
              <w:bottom w:val="nil"/>
              <w:right w:val="nil"/>
            </w:tcBorders>
            <w:shd w:val="clear" w:color="auto" w:fill="auto"/>
            <w:noWrap/>
            <w:vAlign w:val="center"/>
          </w:tcPr>
          <w:p w14:paraId="0634990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45B973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44" w:type="dxa"/>
            <w:tcBorders>
              <w:top w:val="nil"/>
              <w:left w:val="nil"/>
              <w:bottom w:val="nil"/>
              <w:right w:val="nil"/>
            </w:tcBorders>
            <w:shd w:val="clear" w:color="auto" w:fill="auto"/>
            <w:noWrap/>
            <w:vAlign w:val="center"/>
          </w:tcPr>
          <w:p w14:paraId="00A4DAF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825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793D7B9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93821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228" w:type="dxa"/>
            <w:tcBorders>
              <w:top w:val="nil"/>
              <w:left w:val="nil"/>
              <w:bottom w:val="nil"/>
              <w:right w:val="nil"/>
            </w:tcBorders>
            <w:shd w:val="clear" w:color="auto" w:fill="auto"/>
            <w:noWrap/>
            <w:vAlign w:val="center"/>
          </w:tcPr>
          <w:p w14:paraId="3CE27F2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2D27E36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4747C08F">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sanguineus</w:t>
            </w:r>
          </w:p>
        </w:tc>
        <w:tc>
          <w:tcPr>
            <w:tcW w:w="908" w:type="dxa"/>
            <w:tcBorders>
              <w:top w:val="nil"/>
              <w:left w:val="nil"/>
              <w:bottom w:val="nil"/>
              <w:right w:val="nil"/>
            </w:tcBorders>
            <w:shd w:val="clear" w:color="auto" w:fill="auto"/>
            <w:noWrap/>
            <w:vAlign w:val="center"/>
          </w:tcPr>
          <w:p w14:paraId="03FCCBB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15A831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0.57</w:t>
            </w:r>
          </w:p>
        </w:tc>
        <w:tc>
          <w:tcPr>
            <w:tcW w:w="944" w:type="dxa"/>
            <w:tcBorders>
              <w:top w:val="nil"/>
              <w:left w:val="nil"/>
              <w:bottom w:val="nil"/>
              <w:right w:val="nil"/>
            </w:tcBorders>
            <w:shd w:val="clear" w:color="auto" w:fill="auto"/>
            <w:noWrap/>
            <w:vAlign w:val="center"/>
          </w:tcPr>
          <w:p w14:paraId="2AB21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50B34D9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1A5C4C5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6B1863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1F31B1E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0.78</w:t>
            </w:r>
          </w:p>
        </w:tc>
      </w:tr>
      <w:tr w14:paraId="00C6A1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7FACB5EA">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guilhoni</w:t>
            </w:r>
          </w:p>
        </w:tc>
        <w:tc>
          <w:tcPr>
            <w:tcW w:w="908" w:type="dxa"/>
            <w:tcBorders>
              <w:top w:val="nil"/>
              <w:left w:val="nil"/>
              <w:bottom w:val="nil"/>
              <w:right w:val="nil"/>
            </w:tcBorders>
            <w:shd w:val="clear" w:color="auto" w:fill="auto"/>
            <w:noWrap/>
            <w:vAlign w:val="center"/>
          </w:tcPr>
          <w:p w14:paraId="27C64E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75E42F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0.62</w:t>
            </w:r>
          </w:p>
        </w:tc>
        <w:tc>
          <w:tcPr>
            <w:tcW w:w="944" w:type="dxa"/>
            <w:tcBorders>
              <w:top w:val="nil"/>
              <w:left w:val="nil"/>
              <w:bottom w:val="nil"/>
              <w:right w:val="nil"/>
            </w:tcBorders>
            <w:shd w:val="clear" w:color="auto" w:fill="auto"/>
            <w:noWrap/>
            <w:vAlign w:val="center"/>
          </w:tcPr>
          <w:p w14:paraId="14E3F2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0F5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4DFD07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65" w:type="dxa"/>
            <w:tcBorders>
              <w:top w:val="nil"/>
              <w:left w:val="nil"/>
              <w:bottom w:val="nil"/>
              <w:right w:val="nil"/>
            </w:tcBorders>
            <w:shd w:val="clear" w:color="auto" w:fill="auto"/>
            <w:noWrap/>
            <w:vAlign w:val="center"/>
          </w:tcPr>
          <w:p w14:paraId="694B59F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228" w:type="dxa"/>
            <w:tcBorders>
              <w:top w:val="nil"/>
              <w:left w:val="nil"/>
              <w:bottom w:val="nil"/>
              <w:right w:val="nil"/>
            </w:tcBorders>
            <w:shd w:val="clear" w:color="auto" w:fill="auto"/>
            <w:noWrap/>
            <w:vAlign w:val="center"/>
          </w:tcPr>
          <w:p w14:paraId="5E1005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r>
      <w:tr w14:paraId="07436E0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top w:val="nil"/>
              <w:left w:val="nil"/>
              <w:bottom w:val="nil"/>
              <w:right w:val="nil"/>
            </w:tcBorders>
            <w:shd w:val="clear" w:color="auto" w:fill="auto"/>
            <w:noWrap/>
            <w:vAlign w:val="center"/>
          </w:tcPr>
          <w:p w14:paraId="2E99BA2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A. gemma</w:t>
            </w:r>
          </w:p>
        </w:tc>
        <w:tc>
          <w:tcPr>
            <w:tcW w:w="908" w:type="dxa"/>
            <w:tcBorders>
              <w:top w:val="nil"/>
              <w:left w:val="nil"/>
              <w:bottom w:val="nil"/>
              <w:right w:val="nil"/>
            </w:tcBorders>
            <w:shd w:val="clear" w:color="auto" w:fill="auto"/>
            <w:noWrap/>
            <w:vAlign w:val="center"/>
          </w:tcPr>
          <w:p w14:paraId="47C3DE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3D8B5D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2EE2317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D53DD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6F977EE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22187C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2E2AD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r>
      <w:tr w14:paraId="5B42D03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1743" w:type="dxa"/>
            <w:tcBorders>
              <w:top w:val="nil"/>
              <w:left w:val="nil"/>
              <w:right w:val="nil"/>
            </w:tcBorders>
            <w:shd w:val="clear" w:color="auto" w:fill="auto"/>
            <w:noWrap/>
            <w:vAlign w:val="center"/>
          </w:tcPr>
          <w:p w14:paraId="0132C99C">
            <w:pPr>
              <w:keepNext w:val="0"/>
              <w:keepLines w:val="0"/>
              <w:widowControl/>
              <w:suppressLineNumbers w:val="0"/>
              <w:spacing w:line="480" w:lineRule="auto"/>
              <w:jc w:val="left"/>
              <w:textAlignment w:val="center"/>
              <w:rPr>
                <w:rFonts w:hint="default" w:ascii="Times New Roman" w:hAnsi="Times New Roman" w:eastAsia="SimSun" w:cs="Times New Roman"/>
                <w:i/>
                <w:iCs/>
                <w:color w:val="000000"/>
                <w:kern w:val="0"/>
                <w:sz w:val="24"/>
                <w:szCs w:val="24"/>
                <w:u w:val="none"/>
                <w:lang w:val="en-US" w:eastAsia="zh-CN" w:bidi="ar"/>
              </w:rPr>
            </w:pPr>
          </w:p>
        </w:tc>
        <w:tc>
          <w:tcPr>
            <w:tcW w:w="908" w:type="dxa"/>
            <w:tcBorders>
              <w:top w:val="nil"/>
              <w:left w:val="nil"/>
              <w:right w:val="nil"/>
            </w:tcBorders>
            <w:shd w:val="clear" w:color="auto" w:fill="auto"/>
            <w:noWrap/>
            <w:vAlign w:val="center"/>
          </w:tcPr>
          <w:p w14:paraId="2CC31F54">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898" w:type="dxa"/>
            <w:tcBorders>
              <w:top w:val="nil"/>
              <w:left w:val="nil"/>
              <w:right w:val="nil"/>
            </w:tcBorders>
            <w:shd w:val="clear" w:color="auto" w:fill="auto"/>
            <w:noWrap/>
            <w:vAlign w:val="center"/>
          </w:tcPr>
          <w:p w14:paraId="7781CA5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44" w:type="dxa"/>
            <w:tcBorders>
              <w:top w:val="nil"/>
              <w:left w:val="nil"/>
              <w:right w:val="nil"/>
            </w:tcBorders>
            <w:shd w:val="clear" w:color="auto" w:fill="auto"/>
            <w:noWrap/>
            <w:vAlign w:val="center"/>
          </w:tcPr>
          <w:p w14:paraId="502952B7">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060" w:type="dxa"/>
            <w:tcBorders>
              <w:top w:val="nil"/>
              <w:left w:val="nil"/>
              <w:right w:val="nil"/>
            </w:tcBorders>
            <w:shd w:val="clear" w:color="auto" w:fill="auto"/>
            <w:noWrap/>
            <w:vAlign w:val="center"/>
          </w:tcPr>
          <w:p w14:paraId="795FE520">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349" w:type="dxa"/>
            <w:tcBorders>
              <w:top w:val="nil"/>
              <w:left w:val="nil"/>
              <w:right w:val="nil"/>
            </w:tcBorders>
            <w:shd w:val="clear" w:color="auto" w:fill="auto"/>
            <w:noWrap/>
            <w:vAlign w:val="center"/>
          </w:tcPr>
          <w:p w14:paraId="005993B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65" w:type="dxa"/>
            <w:tcBorders>
              <w:top w:val="nil"/>
              <w:left w:val="nil"/>
              <w:right w:val="nil"/>
            </w:tcBorders>
            <w:shd w:val="clear" w:color="auto" w:fill="auto"/>
            <w:noWrap/>
            <w:vAlign w:val="center"/>
          </w:tcPr>
          <w:p w14:paraId="7EB1EDFB">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228" w:type="dxa"/>
            <w:tcBorders>
              <w:top w:val="nil"/>
              <w:left w:val="nil"/>
              <w:right w:val="nil"/>
            </w:tcBorders>
            <w:shd w:val="clear" w:color="auto" w:fill="auto"/>
            <w:noWrap/>
            <w:vAlign w:val="center"/>
          </w:tcPr>
          <w:p w14:paraId="7BDF2862">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r>
    </w:tbl>
    <w:p w14:paraId="1BFF0ABE">
      <w:pPr>
        <w:spacing w:line="480" w:lineRule="auto"/>
        <w:jc w:val="both"/>
        <w:rPr>
          <w:rFonts w:ascii="Arial" w:hAnsi="Arial" w:cs="Arial"/>
          <w:sz w:val="24"/>
          <w:szCs w:val="24"/>
        </w:rPr>
      </w:pPr>
    </w:p>
    <w:p w14:paraId="5EB91BC1">
      <w:pPr>
        <w:spacing w:line="480" w:lineRule="auto"/>
        <w:jc w:val="both"/>
        <w:rPr>
          <w:rFonts w:ascii="Arial" w:hAnsi="Arial" w:cs="Arial"/>
          <w:sz w:val="24"/>
          <w:szCs w:val="24"/>
        </w:rPr>
      </w:pPr>
    </w:p>
    <w:p w14:paraId="49F58998">
      <w:pPr>
        <w:spacing w:line="480" w:lineRule="auto"/>
        <w:jc w:val="both"/>
        <w:rPr>
          <w:rFonts w:ascii="Arial" w:hAnsi="Arial" w:cs="Arial"/>
          <w:sz w:val="24"/>
          <w:szCs w:val="24"/>
        </w:rPr>
      </w:pPr>
    </w:p>
    <w:p w14:paraId="74563873">
      <w:pPr>
        <w:spacing w:line="480" w:lineRule="auto"/>
        <w:jc w:val="both"/>
        <w:rPr>
          <w:rFonts w:ascii="Arial" w:hAnsi="Arial" w:cs="Arial"/>
          <w:sz w:val="24"/>
          <w:szCs w:val="24"/>
          <w:lang w:val="en-GB"/>
        </w:rPr>
      </w:pPr>
      <w:r>
        <w:drawing>
          <wp:inline distT="0" distB="0" distL="114300" distR="114300">
            <wp:extent cx="5941060" cy="3462655"/>
            <wp:effectExtent l="0" t="0" r="254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941060" cy="3462655"/>
                    </a:xfrm>
                    <a:prstGeom prst="rect">
                      <a:avLst/>
                    </a:prstGeom>
                    <a:noFill/>
                    <a:ln>
                      <a:noFill/>
                    </a:ln>
                  </pic:spPr>
                </pic:pic>
              </a:graphicData>
            </a:graphic>
          </wp:inline>
        </w:drawing>
      </w:r>
    </w:p>
    <w:p w14:paraId="2AC07A81">
      <w:pPr>
        <w:spacing w:line="480" w:lineRule="auto"/>
        <w:jc w:val="both"/>
        <w:rPr>
          <w:rFonts w:ascii="Arial" w:hAnsi="Arial" w:cs="Arial"/>
          <w:color w:val="FF0000"/>
          <w:sz w:val="24"/>
          <w:szCs w:val="24"/>
          <w:lang w:val="en-GB"/>
        </w:rPr>
      </w:pPr>
      <w:r>
        <w:rPr>
          <w:rFonts w:ascii="Arial" w:hAnsi="Arial" w:cs="Arial"/>
          <w:b/>
          <w:sz w:val="24"/>
          <w:szCs w:val="24"/>
          <w:lang w:val="en-GB"/>
        </w:rPr>
        <w:t>Fig. 2</w:t>
      </w:r>
      <w:r>
        <w:rPr>
          <w:rFonts w:ascii="Arial" w:hAnsi="Arial" w:cs="Arial"/>
          <w:sz w:val="24"/>
          <w:szCs w:val="24"/>
          <w:lang w:val="en-GB"/>
        </w:rPr>
        <w:t xml:space="preserve"> Tick species infestation prevalence (%) across all 95 cattle sampled.</w:t>
      </w:r>
      <w:r>
        <w:rPr>
          <w:rFonts w:ascii="Arial" w:hAnsi="Arial" w:cs="Arial"/>
          <w:color w:val="FF0000"/>
          <w:sz w:val="24"/>
          <w:szCs w:val="24"/>
          <w:lang w:val="en-GB"/>
        </w:rPr>
        <w:t xml:space="preserve"> </w:t>
      </w:r>
    </w:p>
    <w:p w14:paraId="352881E7">
      <w:pPr>
        <w:spacing w:line="480" w:lineRule="auto"/>
        <w:jc w:val="both"/>
        <w:rPr>
          <w:rFonts w:ascii="Arial" w:hAnsi="Arial" w:cs="Arial"/>
          <w:b/>
          <w:sz w:val="24"/>
          <w:szCs w:val="24"/>
          <w:lang w:val="en-GB"/>
        </w:rPr>
      </w:pPr>
      <w:r>
        <w:rPr>
          <w:rFonts w:ascii="Arial" w:hAnsi="Arial" w:cs="Arial"/>
          <w:b/>
          <w:sz w:val="24"/>
          <w:szCs w:val="24"/>
          <w:lang w:val="en-GB"/>
        </w:rPr>
        <w:t>3.2. Tick community composition at the predilection areas</w:t>
      </w:r>
    </w:p>
    <w:p w14:paraId="6E0C48FE">
      <w:pPr>
        <w:spacing w:line="480" w:lineRule="auto"/>
        <w:jc w:val="both"/>
        <w:rPr>
          <w:rFonts w:ascii="Arial" w:hAnsi="Arial" w:cs="Arial"/>
          <w:sz w:val="24"/>
          <w:szCs w:val="24"/>
          <w:lang w:val="en-GB"/>
        </w:rPr>
      </w:pPr>
      <w:r>
        <w:rPr>
          <w:rFonts w:ascii="Arial" w:hAnsi="Arial" w:cs="Arial"/>
          <w:sz w:val="24"/>
          <w:szCs w:val="24"/>
        </w:rPr>
        <w:t>The tick community composition at the predilection sites is illustrated in the NMDS plot (Fig. 3). The plot indicates significant overlap in tick composition and dispersion across the six predilection areas. Consistent with the NMDS plot, the PERMANOVA test showed no significant differences (p &gt; 0.05) in the overall tick community structure among the predilection sites. Similarly, the test for homogeneity of dispersion revealed no significant differences (p &gt; 0.05) between the sites. Non-significant variations in tick community composition across the predilection sites are detailed in Table 2.</w:t>
      </w:r>
    </w:p>
    <w:p w14:paraId="0E47680F">
      <w:pPr>
        <w:pStyle w:val="14"/>
        <w:keepNext w:val="0"/>
        <w:keepLines w:val="0"/>
        <w:widowControl/>
        <w:suppressLineNumbers w:val="0"/>
      </w:pPr>
      <w:r>
        <w:drawing>
          <wp:inline distT="0" distB="0" distL="114300" distR="114300">
            <wp:extent cx="5940425" cy="4384675"/>
            <wp:effectExtent l="0" t="0" r="3175"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940425" cy="4384675"/>
                    </a:xfrm>
                    <a:prstGeom prst="rect">
                      <a:avLst/>
                    </a:prstGeom>
                    <a:noFill/>
                    <a:ln>
                      <a:noFill/>
                    </a:ln>
                  </pic:spPr>
                </pic:pic>
              </a:graphicData>
            </a:graphic>
          </wp:inline>
        </w:drawing>
      </w:r>
    </w:p>
    <w:p w14:paraId="68591C73">
      <w:pPr>
        <w:spacing w:line="480" w:lineRule="auto"/>
        <w:jc w:val="both"/>
        <w:rPr>
          <w:rFonts w:ascii="Arial" w:hAnsi="Arial" w:cs="Arial"/>
          <w:sz w:val="24"/>
          <w:szCs w:val="24"/>
          <w:lang w:val="en-GB"/>
        </w:rPr>
      </w:pPr>
    </w:p>
    <w:p w14:paraId="3DA5626F">
      <w:pPr>
        <w:spacing w:line="480" w:lineRule="auto"/>
        <w:jc w:val="both"/>
        <w:rPr>
          <w:rFonts w:ascii="Arial" w:hAnsi="Arial" w:cs="Arial"/>
          <w:sz w:val="24"/>
          <w:szCs w:val="24"/>
          <w:lang w:val="en-GB"/>
        </w:rPr>
      </w:pPr>
      <w:r>
        <w:rPr>
          <w:rFonts w:ascii="Arial" w:hAnsi="Arial" w:cs="Arial"/>
          <w:b/>
          <w:sz w:val="24"/>
          <w:szCs w:val="24"/>
          <w:lang w:val="en-GB"/>
        </w:rPr>
        <w:t>Fig. 3</w:t>
      </w:r>
      <w:r>
        <w:rPr>
          <w:rFonts w:ascii="Arial" w:hAnsi="Arial" w:cs="Arial"/>
          <w:sz w:val="24"/>
          <w:szCs w:val="24"/>
          <w:lang w:val="en-GB"/>
        </w:rPr>
        <w:t xml:space="preserve"> Non-metric multidimensional scale (NMDS) plot showing points representing the tick community in predilection sites. Points are coloured according to predilection sites.</w:t>
      </w:r>
    </w:p>
    <w:p w14:paraId="56775175">
      <w:pPr>
        <w:spacing w:before="240" w:line="480" w:lineRule="auto"/>
        <w:jc w:val="both"/>
        <w:rPr>
          <w:rFonts w:hint="default" w:ascii="Arial" w:hAnsi="Arial" w:cs="Arial"/>
          <w:sz w:val="24"/>
          <w:szCs w:val="24"/>
          <w:lang w:val="en-US"/>
        </w:rPr>
      </w:pPr>
      <w:r>
        <w:rPr>
          <w:rFonts w:ascii="Arial" w:hAnsi="Arial" w:cs="Arial"/>
          <w:b/>
          <w:sz w:val="24"/>
          <w:szCs w:val="24"/>
          <w:lang w:val="en-GB"/>
        </w:rPr>
        <w:t>Table 2</w:t>
      </w:r>
      <w:r>
        <w:rPr>
          <w:rFonts w:ascii="Arial" w:hAnsi="Arial" w:cs="Arial"/>
          <w:sz w:val="24"/>
          <w:szCs w:val="24"/>
          <w:lang w:val="en-GB"/>
        </w:rPr>
        <w:t xml:space="preserve"> PERMANOVA test comparing the community structure of ticks at the predilection sites</w:t>
      </w:r>
      <w:r>
        <w:rPr>
          <w:rFonts w:hint="default" w:ascii="Arial" w:hAnsi="Arial" w:cs="Arial"/>
          <w:sz w:val="24"/>
          <w:szCs w:val="24"/>
          <w:lang w:val="en-US"/>
        </w:rPr>
        <w:t xml:space="preserve"> </w:t>
      </w:r>
    </w:p>
    <w:tbl>
      <w:tblPr>
        <w:tblStyle w:val="5"/>
        <w:tblW w:w="709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97"/>
        <w:gridCol w:w="1231"/>
        <w:gridCol w:w="1392"/>
        <w:gridCol w:w="1080"/>
        <w:gridCol w:w="1290"/>
      </w:tblGrid>
      <w:tr w14:paraId="2DF84B3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left w:val="nil"/>
              <w:bottom w:val="single" w:color="auto" w:sz="4" w:space="0"/>
              <w:right w:val="nil"/>
            </w:tcBorders>
            <w:shd w:val="clear" w:color="auto" w:fill="auto"/>
            <w:noWrap/>
            <w:vAlign w:val="center"/>
          </w:tcPr>
          <w:p w14:paraId="0D4725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Predilection Pairs</w:t>
            </w:r>
          </w:p>
        </w:tc>
        <w:tc>
          <w:tcPr>
            <w:tcW w:w="1231" w:type="dxa"/>
            <w:tcBorders>
              <w:left w:val="nil"/>
              <w:bottom w:val="single" w:color="auto" w:sz="4" w:space="0"/>
              <w:right w:val="nil"/>
            </w:tcBorders>
            <w:shd w:val="clear" w:color="auto" w:fill="auto"/>
            <w:noWrap/>
            <w:vAlign w:val="center"/>
          </w:tcPr>
          <w:p w14:paraId="3E0ED06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F.Model</w:t>
            </w:r>
          </w:p>
        </w:tc>
        <w:tc>
          <w:tcPr>
            <w:tcW w:w="1392" w:type="dxa"/>
            <w:tcBorders>
              <w:left w:val="nil"/>
              <w:bottom w:val="single" w:color="auto" w:sz="4" w:space="0"/>
              <w:right w:val="nil"/>
            </w:tcBorders>
            <w:shd w:val="clear" w:color="auto" w:fill="auto"/>
            <w:noWrap/>
            <w:vAlign w:val="center"/>
          </w:tcPr>
          <w:p w14:paraId="56CDD1A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R-Squared</w:t>
            </w:r>
          </w:p>
        </w:tc>
        <w:tc>
          <w:tcPr>
            <w:tcW w:w="1080" w:type="dxa"/>
            <w:tcBorders>
              <w:left w:val="nil"/>
              <w:bottom w:val="single" w:color="auto" w:sz="4" w:space="0"/>
              <w:right w:val="nil"/>
            </w:tcBorders>
            <w:shd w:val="clear" w:color="auto" w:fill="auto"/>
            <w:noWrap/>
            <w:vAlign w:val="center"/>
          </w:tcPr>
          <w:p w14:paraId="15CC2F30">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p.value</w:t>
            </w:r>
          </w:p>
        </w:tc>
        <w:tc>
          <w:tcPr>
            <w:tcW w:w="1290" w:type="dxa"/>
            <w:tcBorders>
              <w:left w:val="nil"/>
              <w:bottom w:val="single" w:color="auto" w:sz="4" w:space="0"/>
              <w:right w:val="nil"/>
            </w:tcBorders>
            <w:shd w:val="clear" w:color="auto" w:fill="auto"/>
            <w:noWrap/>
            <w:vAlign w:val="center"/>
          </w:tcPr>
          <w:p w14:paraId="6C85778B">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p.adjusted</w:t>
            </w:r>
          </w:p>
        </w:tc>
      </w:tr>
      <w:tr w14:paraId="05EAD2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single" w:color="auto" w:sz="4" w:space="0"/>
              <w:left w:val="nil"/>
              <w:bottom w:val="nil"/>
              <w:right w:val="nil"/>
            </w:tcBorders>
            <w:shd w:val="clear" w:color="auto" w:fill="auto"/>
            <w:noWrap/>
            <w:vAlign w:val="center"/>
          </w:tcPr>
          <w:p w14:paraId="1CFD772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Head</w:t>
            </w:r>
          </w:p>
        </w:tc>
        <w:tc>
          <w:tcPr>
            <w:tcW w:w="1231" w:type="dxa"/>
            <w:tcBorders>
              <w:top w:val="single" w:color="auto" w:sz="4" w:space="0"/>
              <w:left w:val="nil"/>
              <w:bottom w:val="nil"/>
              <w:right w:val="nil"/>
            </w:tcBorders>
            <w:shd w:val="clear" w:color="auto" w:fill="auto"/>
            <w:noWrap/>
            <w:vAlign w:val="center"/>
          </w:tcPr>
          <w:p w14:paraId="772F94F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1.834</w:t>
            </w:r>
          </w:p>
        </w:tc>
        <w:tc>
          <w:tcPr>
            <w:tcW w:w="1392" w:type="dxa"/>
            <w:tcBorders>
              <w:top w:val="single" w:color="auto" w:sz="4" w:space="0"/>
              <w:left w:val="nil"/>
              <w:bottom w:val="nil"/>
              <w:right w:val="nil"/>
            </w:tcBorders>
            <w:shd w:val="clear" w:color="auto" w:fill="auto"/>
            <w:noWrap/>
            <w:vAlign w:val="center"/>
          </w:tcPr>
          <w:p w14:paraId="0913CAC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0.016</w:t>
            </w:r>
          </w:p>
        </w:tc>
        <w:tc>
          <w:tcPr>
            <w:tcW w:w="1080" w:type="dxa"/>
            <w:tcBorders>
              <w:top w:val="single" w:color="auto" w:sz="4" w:space="0"/>
              <w:left w:val="nil"/>
              <w:bottom w:val="nil"/>
              <w:right w:val="nil"/>
            </w:tcBorders>
            <w:shd w:val="clear" w:color="auto" w:fill="auto"/>
            <w:noWrap/>
            <w:vAlign w:val="center"/>
          </w:tcPr>
          <w:p w14:paraId="1B5003C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0.119</w:t>
            </w:r>
          </w:p>
        </w:tc>
        <w:tc>
          <w:tcPr>
            <w:tcW w:w="1290" w:type="dxa"/>
            <w:tcBorders>
              <w:top w:val="single" w:color="auto" w:sz="4" w:space="0"/>
              <w:left w:val="nil"/>
              <w:bottom w:val="nil"/>
              <w:right w:val="nil"/>
            </w:tcBorders>
            <w:shd w:val="clear" w:color="auto" w:fill="auto"/>
            <w:noWrap/>
            <w:vAlign w:val="center"/>
          </w:tcPr>
          <w:p w14:paraId="14D9C3F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520F48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BFA45FE">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Leg</w:t>
            </w:r>
          </w:p>
        </w:tc>
        <w:tc>
          <w:tcPr>
            <w:tcW w:w="1231" w:type="dxa"/>
            <w:tcBorders>
              <w:top w:val="nil"/>
              <w:left w:val="nil"/>
              <w:bottom w:val="nil"/>
              <w:right w:val="nil"/>
            </w:tcBorders>
            <w:shd w:val="clear" w:color="auto" w:fill="auto"/>
            <w:noWrap/>
            <w:vAlign w:val="center"/>
          </w:tcPr>
          <w:p w14:paraId="3F8A4A7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0.082</w:t>
            </w:r>
          </w:p>
        </w:tc>
        <w:tc>
          <w:tcPr>
            <w:tcW w:w="1392" w:type="dxa"/>
            <w:tcBorders>
              <w:top w:val="nil"/>
              <w:left w:val="nil"/>
              <w:bottom w:val="nil"/>
              <w:right w:val="nil"/>
            </w:tcBorders>
            <w:shd w:val="clear" w:color="auto" w:fill="auto"/>
            <w:noWrap/>
            <w:vAlign w:val="center"/>
          </w:tcPr>
          <w:p w14:paraId="2F77362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0.001</w:t>
            </w:r>
          </w:p>
        </w:tc>
        <w:tc>
          <w:tcPr>
            <w:tcW w:w="1080" w:type="dxa"/>
            <w:tcBorders>
              <w:top w:val="nil"/>
              <w:left w:val="nil"/>
              <w:bottom w:val="nil"/>
              <w:right w:val="nil"/>
            </w:tcBorders>
            <w:shd w:val="clear" w:color="auto" w:fill="auto"/>
            <w:noWrap/>
            <w:vAlign w:val="center"/>
          </w:tcPr>
          <w:p w14:paraId="4CB097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0.951</w:t>
            </w:r>
          </w:p>
        </w:tc>
        <w:tc>
          <w:tcPr>
            <w:tcW w:w="1290" w:type="dxa"/>
            <w:tcBorders>
              <w:top w:val="nil"/>
              <w:left w:val="nil"/>
              <w:bottom w:val="nil"/>
              <w:right w:val="nil"/>
            </w:tcBorders>
            <w:shd w:val="clear" w:color="auto" w:fill="auto"/>
            <w:noWrap/>
            <w:vAlign w:val="center"/>
          </w:tcPr>
          <w:p w14:paraId="598AFE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C9FC6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B0A7D3">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Tail</w:t>
            </w:r>
          </w:p>
        </w:tc>
        <w:tc>
          <w:tcPr>
            <w:tcW w:w="1231" w:type="dxa"/>
            <w:tcBorders>
              <w:top w:val="nil"/>
              <w:left w:val="nil"/>
              <w:bottom w:val="nil"/>
              <w:right w:val="nil"/>
            </w:tcBorders>
            <w:shd w:val="clear" w:color="auto" w:fill="auto"/>
            <w:noWrap/>
            <w:vAlign w:val="center"/>
          </w:tcPr>
          <w:p w14:paraId="4753AA3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0.752</w:t>
            </w:r>
          </w:p>
        </w:tc>
        <w:tc>
          <w:tcPr>
            <w:tcW w:w="1392" w:type="dxa"/>
            <w:tcBorders>
              <w:top w:val="nil"/>
              <w:left w:val="nil"/>
              <w:bottom w:val="nil"/>
              <w:right w:val="nil"/>
            </w:tcBorders>
            <w:shd w:val="clear" w:color="auto" w:fill="auto"/>
            <w:noWrap/>
            <w:vAlign w:val="center"/>
          </w:tcPr>
          <w:p w14:paraId="2E7ED5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7B3FCB5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0.577</w:t>
            </w:r>
          </w:p>
        </w:tc>
        <w:tc>
          <w:tcPr>
            <w:tcW w:w="1290" w:type="dxa"/>
            <w:tcBorders>
              <w:top w:val="nil"/>
              <w:left w:val="nil"/>
              <w:bottom w:val="nil"/>
              <w:right w:val="nil"/>
            </w:tcBorders>
            <w:shd w:val="clear" w:color="auto" w:fill="auto"/>
            <w:noWrap/>
            <w:vAlign w:val="center"/>
          </w:tcPr>
          <w:p w14:paraId="2007AE1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E3A14D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052F9D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Neck</w:t>
            </w:r>
          </w:p>
        </w:tc>
        <w:tc>
          <w:tcPr>
            <w:tcW w:w="1231" w:type="dxa"/>
            <w:tcBorders>
              <w:top w:val="nil"/>
              <w:left w:val="nil"/>
              <w:bottom w:val="nil"/>
              <w:right w:val="nil"/>
            </w:tcBorders>
            <w:shd w:val="clear" w:color="auto" w:fill="auto"/>
            <w:noWrap/>
            <w:vAlign w:val="center"/>
          </w:tcPr>
          <w:p w14:paraId="0E14B35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w:t>
            </w:r>
          </w:p>
        </w:tc>
        <w:tc>
          <w:tcPr>
            <w:tcW w:w="1392" w:type="dxa"/>
            <w:tcBorders>
              <w:top w:val="nil"/>
              <w:left w:val="nil"/>
              <w:bottom w:val="nil"/>
              <w:right w:val="nil"/>
            </w:tcBorders>
            <w:shd w:val="clear" w:color="auto" w:fill="auto"/>
            <w:noWrap/>
            <w:vAlign w:val="center"/>
          </w:tcPr>
          <w:p w14:paraId="7C1BBFE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5293469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0.757</w:t>
            </w:r>
          </w:p>
        </w:tc>
        <w:tc>
          <w:tcPr>
            <w:tcW w:w="1290" w:type="dxa"/>
            <w:tcBorders>
              <w:top w:val="nil"/>
              <w:left w:val="nil"/>
              <w:bottom w:val="nil"/>
              <w:right w:val="nil"/>
            </w:tcBorders>
            <w:shd w:val="clear" w:color="auto" w:fill="auto"/>
            <w:noWrap/>
            <w:vAlign w:val="center"/>
          </w:tcPr>
          <w:p w14:paraId="23100E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76B131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104CC1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Shoulder</w:t>
            </w:r>
          </w:p>
        </w:tc>
        <w:tc>
          <w:tcPr>
            <w:tcW w:w="1231" w:type="dxa"/>
            <w:tcBorders>
              <w:top w:val="nil"/>
              <w:left w:val="nil"/>
              <w:bottom w:val="nil"/>
              <w:right w:val="nil"/>
            </w:tcBorders>
            <w:shd w:val="clear" w:color="auto" w:fill="auto"/>
            <w:noWrap/>
            <w:vAlign w:val="center"/>
          </w:tcPr>
          <w:p w14:paraId="4F19D2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2.854</w:t>
            </w:r>
          </w:p>
        </w:tc>
        <w:tc>
          <w:tcPr>
            <w:tcW w:w="1392" w:type="dxa"/>
            <w:tcBorders>
              <w:top w:val="nil"/>
              <w:left w:val="nil"/>
              <w:bottom w:val="nil"/>
              <w:right w:val="nil"/>
            </w:tcBorders>
            <w:shd w:val="clear" w:color="auto" w:fill="auto"/>
            <w:noWrap/>
            <w:vAlign w:val="center"/>
          </w:tcPr>
          <w:p w14:paraId="1945DF9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0.035</w:t>
            </w:r>
          </w:p>
        </w:tc>
        <w:tc>
          <w:tcPr>
            <w:tcW w:w="1080" w:type="dxa"/>
            <w:tcBorders>
              <w:top w:val="nil"/>
              <w:left w:val="nil"/>
              <w:bottom w:val="nil"/>
              <w:right w:val="nil"/>
            </w:tcBorders>
            <w:shd w:val="clear" w:color="auto" w:fill="auto"/>
            <w:noWrap/>
            <w:vAlign w:val="center"/>
          </w:tcPr>
          <w:p w14:paraId="6B1F60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0.031</w:t>
            </w:r>
          </w:p>
        </w:tc>
        <w:tc>
          <w:tcPr>
            <w:tcW w:w="1290" w:type="dxa"/>
            <w:tcBorders>
              <w:top w:val="nil"/>
              <w:left w:val="nil"/>
              <w:bottom w:val="nil"/>
              <w:right w:val="nil"/>
            </w:tcBorders>
            <w:shd w:val="clear" w:color="auto" w:fill="auto"/>
            <w:noWrap/>
            <w:vAlign w:val="center"/>
          </w:tcPr>
          <w:p w14:paraId="03C3D4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0.465</w:t>
            </w:r>
          </w:p>
        </w:tc>
      </w:tr>
      <w:tr w14:paraId="1D961B6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C1078B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Leg</w:t>
            </w:r>
          </w:p>
        </w:tc>
        <w:tc>
          <w:tcPr>
            <w:tcW w:w="1231" w:type="dxa"/>
            <w:tcBorders>
              <w:top w:val="nil"/>
              <w:left w:val="nil"/>
              <w:bottom w:val="nil"/>
              <w:right w:val="nil"/>
            </w:tcBorders>
            <w:shd w:val="clear" w:color="auto" w:fill="auto"/>
            <w:noWrap/>
            <w:vAlign w:val="center"/>
          </w:tcPr>
          <w:p w14:paraId="5992303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1.177</w:t>
            </w:r>
          </w:p>
        </w:tc>
        <w:tc>
          <w:tcPr>
            <w:tcW w:w="1392" w:type="dxa"/>
            <w:tcBorders>
              <w:top w:val="nil"/>
              <w:left w:val="nil"/>
              <w:bottom w:val="nil"/>
              <w:right w:val="nil"/>
            </w:tcBorders>
            <w:shd w:val="clear" w:color="auto" w:fill="auto"/>
            <w:noWrap/>
            <w:vAlign w:val="center"/>
          </w:tcPr>
          <w:p w14:paraId="7B79F44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3FABED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0.348</w:t>
            </w:r>
          </w:p>
        </w:tc>
        <w:tc>
          <w:tcPr>
            <w:tcW w:w="1290" w:type="dxa"/>
            <w:tcBorders>
              <w:top w:val="nil"/>
              <w:left w:val="nil"/>
              <w:bottom w:val="nil"/>
              <w:right w:val="nil"/>
            </w:tcBorders>
            <w:shd w:val="clear" w:color="auto" w:fill="auto"/>
            <w:noWrap/>
            <w:vAlign w:val="center"/>
          </w:tcPr>
          <w:p w14:paraId="07C15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360DD5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6976381C">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Tail</w:t>
            </w:r>
          </w:p>
        </w:tc>
        <w:tc>
          <w:tcPr>
            <w:tcW w:w="1231" w:type="dxa"/>
            <w:tcBorders>
              <w:top w:val="nil"/>
              <w:left w:val="nil"/>
              <w:bottom w:val="nil"/>
              <w:right w:val="nil"/>
            </w:tcBorders>
            <w:shd w:val="clear" w:color="auto" w:fill="auto"/>
            <w:noWrap/>
            <w:vAlign w:val="center"/>
          </w:tcPr>
          <w:p w14:paraId="031830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0.779</w:t>
            </w:r>
          </w:p>
        </w:tc>
        <w:tc>
          <w:tcPr>
            <w:tcW w:w="1392" w:type="dxa"/>
            <w:tcBorders>
              <w:top w:val="nil"/>
              <w:left w:val="nil"/>
              <w:bottom w:val="nil"/>
              <w:right w:val="nil"/>
            </w:tcBorders>
            <w:shd w:val="clear" w:color="auto" w:fill="auto"/>
            <w:noWrap/>
            <w:vAlign w:val="center"/>
          </w:tcPr>
          <w:p w14:paraId="3BD6622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349593F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0.565</w:t>
            </w:r>
          </w:p>
        </w:tc>
        <w:tc>
          <w:tcPr>
            <w:tcW w:w="1290" w:type="dxa"/>
            <w:tcBorders>
              <w:top w:val="nil"/>
              <w:left w:val="nil"/>
              <w:bottom w:val="nil"/>
              <w:right w:val="nil"/>
            </w:tcBorders>
            <w:shd w:val="clear" w:color="auto" w:fill="auto"/>
            <w:noWrap/>
            <w:vAlign w:val="center"/>
          </w:tcPr>
          <w:p w14:paraId="28CB09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476F9B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B851E8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Neck</w:t>
            </w:r>
          </w:p>
        </w:tc>
        <w:tc>
          <w:tcPr>
            <w:tcW w:w="1231" w:type="dxa"/>
            <w:tcBorders>
              <w:top w:val="nil"/>
              <w:left w:val="nil"/>
              <w:bottom w:val="nil"/>
              <w:right w:val="nil"/>
            </w:tcBorders>
            <w:shd w:val="clear" w:color="auto" w:fill="auto"/>
            <w:noWrap/>
            <w:vAlign w:val="center"/>
          </w:tcPr>
          <w:p w14:paraId="031BD53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1.029</w:t>
            </w:r>
          </w:p>
        </w:tc>
        <w:tc>
          <w:tcPr>
            <w:tcW w:w="1392" w:type="dxa"/>
            <w:tcBorders>
              <w:top w:val="nil"/>
              <w:left w:val="nil"/>
              <w:bottom w:val="nil"/>
              <w:right w:val="nil"/>
            </w:tcBorders>
            <w:shd w:val="clear" w:color="auto" w:fill="auto"/>
            <w:noWrap/>
            <w:vAlign w:val="center"/>
          </w:tcPr>
          <w:p w14:paraId="3CE70C6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5E5E71B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0.398</w:t>
            </w:r>
          </w:p>
        </w:tc>
        <w:tc>
          <w:tcPr>
            <w:tcW w:w="1290" w:type="dxa"/>
            <w:tcBorders>
              <w:top w:val="nil"/>
              <w:left w:val="nil"/>
              <w:bottom w:val="nil"/>
              <w:right w:val="nil"/>
            </w:tcBorders>
            <w:shd w:val="clear" w:color="auto" w:fill="auto"/>
            <w:noWrap/>
            <w:vAlign w:val="center"/>
          </w:tcPr>
          <w:p w14:paraId="36400C2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EB3D85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10C090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Shoulder</w:t>
            </w:r>
          </w:p>
        </w:tc>
        <w:tc>
          <w:tcPr>
            <w:tcW w:w="1231" w:type="dxa"/>
            <w:tcBorders>
              <w:top w:val="nil"/>
              <w:left w:val="nil"/>
              <w:bottom w:val="nil"/>
              <w:right w:val="nil"/>
            </w:tcBorders>
            <w:shd w:val="clear" w:color="auto" w:fill="auto"/>
            <w:noWrap/>
            <w:vAlign w:val="center"/>
          </w:tcPr>
          <w:p w14:paraId="75D678F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1.325</w:t>
            </w:r>
          </w:p>
        </w:tc>
        <w:tc>
          <w:tcPr>
            <w:tcW w:w="1392" w:type="dxa"/>
            <w:tcBorders>
              <w:top w:val="nil"/>
              <w:left w:val="nil"/>
              <w:bottom w:val="nil"/>
              <w:right w:val="nil"/>
            </w:tcBorders>
            <w:shd w:val="clear" w:color="auto" w:fill="auto"/>
            <w:noWrap/>
            <w:vAlign w:val="center"/>
          </w:tcPr>
          <w:p w14:paraId="738B509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2A5E8D4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0.256</w:t>
            </w:r>
          </w:p>
        </w:tc>
        <w:tc>
          <w:tcPr>
            <w:tcW w:w="1290" w:type="dxa"/>
            <w:tcBorders>
              <w:top w:val="nil"/>
              <w:left w:val="nil"/>
              <w:bottom w:val="nil"/>
              <w:right w:val="nil"/>
            </w:tcBorders>
            <w:shd w:val="clear" w:color="auto" w:fill="auto"/>
            <w:noWrap/>
            <w:vAlign w:val="center"/>
          </w:tcPr>
          <w:p w14:paraId="799476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6A9EB81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1487D0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Tail</w:t>
            </w:r>
          </w:p>
        </w:tc>
        <w:tc>
          <w:tcPr>
            <w:tcW w:w="1231" w:type="dxa"/>
            <w:tcBorders>
              <w:top w:val="nil"/>
              <w:left w:val="nil"/>
              <w:bottom w:val="nil"/>
              <w:right w:val="nil"/>
            </w:tcBorders>
            <w:shd w:val="clear" w:color="auto" w:fill="auto"/>
            <w:noWrap/>
            <w:vAlign w:val="center"/>
          </w:tcPr>
          <w:p w14:paraId="1422432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0.608</w:t>
            </w:r>
          </w:p>
        </w:tc>
        <w:tc>
          <w:tcPr>
            <w:tcW w:w="1392" w:type="dxa"/>
            <w:tcBorders>
              <w:top w:val="nil"/>
              <w:left w:val="nil"/>
              <w:bottom w:val="nil"/>
              <w:right w:val="nil"/>
            </w:tcBorders>
            <w:shd w:val="clear" w:color="auto" w:fill="auto"/>
            <w:noWrap/>
            <w:vAlign w:val="center"/>
          </w:tcPr>
          <w:p w14:paraId="2F8A497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0.005</w:t>
            </w:r>
          </w:p>
        </w:tc>
        <w:tc>
          <w:tcPr>
            <w:tcW w:w="1080" w:type="dxa"/>
            <w:tcBorders>
              <w:top w:val="nil"/>
              <w:left w:val="nil"/>
              <w:bottom w:val="nil"/>
              <w:right w:val="nil"/>
            </w:tcBorders>
            <w:shd w:val="clear" w:color="auto" w:fill="auto"/>
            <w:noWrap/>
            <w:vAlign w:val="center"/>
          </w:tcPr>
          <w:p w14:paraId="7D1FC3F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0.691</w:t>
            </w:r>
          </w:p>
        </w:tc>
        <w:tc>
          <w:tcPr>
            <w:tcW w:w="1290" w:type="dxa"/>
            <w:tcBorders>
              <w:top w:val="nil"/>
              <w:left w:val="nil"/>
              <w:bottom w:val="nil"/>
              <w:right w:val="nil"/>
            </w:tcBorders>
            <w:shd w:val="clear" w:color="auto" w:fill="auto"/>
            <w:noWrap/>
            <w:vAlign w:val="center"/>
          </w:tcPr>
          <w:p w14:paraId="74A2ED0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76D630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AB67D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Neck</w:t>
            </w:r>
          </w:p>
        </w:tc>
        <w:tc>
          <w:tcPr>
            <w:tcW w:w="1231" w:type="dxa"/>
            <w:tcBorders>
              <w:top w:val="nil"/>
              <w:left w:val="nil"/>
              <w:bottom w:val="nil"/>
              <w:right w:val="nil"/>
            </w:tcBorders>
            <w:shd w:val="clear" w:color="auto" w:fill="auto"/>
            <w:noWrap/>
            <w:vAlign w:val="center"/>
          </w:tcPr>
          <w:p w14:paraId="0D32A79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0.303</w:t>
            </w:r>
          </w:p>
        </w:tc>
        <w:tc>
          <w:tcPr>
            <w:tcW w:w="1392" w:type="dxa"/>
            <w:tcBorders>
              <w:top w:val="nil"/>
              <w:left w:val="nil"/>
              <w:bottom w:val="nil"/>
              <w:right w:val="nil"/>
            </w:tcBorders>
            <w:shd w:val="clear" w:color="auto" w:fill="auto"/>
            <w:noWrap/>
            <w:vAlign w:val="center"/>
          </w:tcPr>
          <w:p w14:paraId="742AE55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0.003</w:t>
            </w:r>
          </w:p>
        </w:tc>
        <w:tc>
          <w:tcPr>
            <w:tcW w:w="1080" w:type="dxa"/>
            <w:tcBorders>
              <w:top w:val="nil"/>
              <w:left w:val="nil"/>
              <w:bottom w:val="nil"/>
              <w:right w:val="nil"/>
            </w:tcBorders>
            <w:shd w:val="clear" w:color="auto" w:fill="auto"/>
            <w:noWrap/>
            <w:vAlign w:val="center"/>
          </w:tcPr>
          <w:p w14:paraId="23B3A8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0.832</w:t>
            </w:r>
          </w:p>
        </w:tc>
        <w:tc>
          <w:tcPr>
            <w:tcW w:w="1290" w:type="dxa"/>
            <w:tcBorders>
              <w:top w:val="nil"/>
              <w:left w:val="nil"/>
              <w:bottom w:val="nil"/>
              <w:right w:val="nil"/>
            </w:tcBorders>
            <w:shd w:val="clear" w:color="auto" w:fill="auto"/>
            <w:noWrap/>
            <w:vAlign w:val="center"/>
          </w:tcPr>
          <w:p w14:paraId="372693A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971D20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704FB7F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Shoulder</w:t>
            </w:r>
          </w:p>
        </w:tc>
        <w:tc>
          <w:tcPr>
            <w:tcW w:w="1231" w:type="dxa"/>
            <w:tcBorders>
              <w:top w:val="nil"/>
              <w:left w:val="nil"/>
              <w:bottom w:val="nil"/>
              <w:right w:val="nil"/>
            </w:tcBorders>
            <w:shd w:val="clear" w:color="auto" w:fill="auto"/>
            <w:noWrap/>
            <w:vAlign w:val="center"/>
          </w:tcPr>
          <w:p w14:paraId="03DE9A2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1.429</w:t>
            </w:r>
          </w:p>
        </w:tc>
        <w:tc>
          <w:tcPr>
            <w:tcW w:w="1392" w:type="dxa"/>
            <w:tcBorders>
              <w:top w:val="nil"/>
              <w:left w:val="nil"/>
              <w:bottom w:val="nil"/>
              <w:right w:val="nil"/>
            </w:tcBorders>
            <w:shd w:val="clear" w:color="auto" w:fill="auto"/>
            <w:noWrap/>
            <w:vAlign w:val="center"/>
          </w:tcPr>
          <w:p w14:paraId="7DB0104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12F12D8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0.209</w:t>
            </w:r>
          </w:p>
        </w:tc>
        <w:tc>
          <w:tcPr>
            <w:tcW w:w="1290" w:type="dxa"/>
            <w:tcBorders>
              <w:top w:val="nil"/>
              <w:left w:val="nil"/>
              <w:bottom w:val="nil"/>
              <w:right w:val="nil"/>
            </w:tcBorders>
            <w:shd w:val="clear" w:color="auto" w:fill="auto"/>
            <w:noWrap/>
            <w:vAlign w:val="center"/>
          </w:tcPr>
          <w:p w14:paraId="0DD0C1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AE326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E54A8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Neck</w:t>
            </w:r>
          </w:p>
        </w:tc>
        <w:tc>
          <w:tcPr>
            <w:tcW w:w="1231" w:type="dxa"/>
            <w:tcBorders>
              <w:top w:val="nil"/>
              <w:left w:val="nil"/>
              <w:bottom w:val="nil"/>
              <w:right w:val="nil"/>
            </w:tcBorders>
            <w:shd w:val="clear" w:color="auto" w:fill="auto"/>
            <w:noWrap/>
            <w:vAlign w:val="center"/>
          </w:tcPr>
          <w:p w14:paraId="681C3D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0.373</w:t>
            </w:r>
          </w:p>
        </w:tc>
        <w:tc>
          <w:tcPr>
            <w:tcW w:w="1392" w:type="dxa"/>
            <w:tcBorders>
              <w:top w:val="nil"/>
              <w:left w:val="nil"/>
              <w:bottom w:val="nil"/>
              <w:right w:val="nil"/>
            </w:tcBorders>
            <w:shd w:val="clear" w:color="auto" w:fill="auto"/>
            <w:noWrap/>
            <w:vAlign w:val="center"/>
          </w:tcPr>
          <w:p w14:paraId="5A4413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2A7241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0.835</w:t>
            </w:r>
          </w:p>
        </w:tc>
        <w:tc>
          <w:tcPr>
            <w:tcW w:w="1290" w:type="dxa"/>
            <w:tcBorders>
              <w:top w:val="nil"/>
              <w:left w:val="nil"/>
              <w:bottom w:val="nil"/>
              <w:right w:val="nil"/>
            </w:tcBorders>
            <w:shd w:val="clear" w:color="auto" w:fill="auto"/>
            <w:noWrap/>
            <w:vAlign w:val="center"/>
          </w:tcPr>
          <w:p w14:paraId="1D98823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3CB452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2EBBC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Shoulder</w:t>
            </w:r>
          </w:p>
        </w:tc>
        <w:tc>
          <w:tcPr>
            <w:tcW w:w="1231" w:type="dxa"/>
            <w:tcBorders>
              <w:top w:val="nil"/>
              <w:left w:val="nil"/>
              <w:bottom w:val="nil"/>
              <w:right w:val="nil"/>
            </w:tcBorders>
            <w:shd w:val="clear" w:color="auto" w:fill="auto"/>
            <w:noWrap/>
            <w:vAlign w:val="center"/>
          </w:tcPr>
          <w:p w14:paraId="690B0E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2.213</w:t>
            </w:r>
          </w:p>
        </w:tc>
        <w:tc>
          <w:tcPr>
            <w:tcW w:w="1392" w:type="dxa"/>
            <w:tcBorders>
              <w:top w:val="nil"/>
              <w:left w:val="nil"/>
              <w:bottom w:val="nil"/>
              <w:right w:val="nil"/>
            </w:tcBorders>
            <w:shd w:val="clear" w:color="auto" w:fill="auto"/>
            <w:noWrap/>
            <w:vAlign w:val="center"/>
          </w:tcPr>
          <w:p w14:paraId="397645C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0.031</w:t>
            </w:r>
          </w:p>
        </w:tc>
        <w:tc>
          <w:tcPr>
            <w:tcW w:w="1080" w:type="dxa"/>
            <w:tcBorders>
              <w:top w:val="nil"/>
              <w:left w:val="nil"/>
              <w:bottom w:val="nil"/>
              <w:right w:val="nil"/>
            </w:tcBorders>
            <w:shd w:val="clear" w:color="auto" w:fill="auto"/>
            <w:noWrap/>
            <w:vAlign w:val="center"/>
          </w:tcPr>
          <w:p w14:paraId="7364F3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w:t>
            </w:r>
          </w:p>
        </w:tc>
        <w:tc>
          <w:tcPr>
            <w:tcW w:w="1290" w:type="dxa"/>
            <w:tcBorders>
              <w:top w:val="nil"/>
              <w:left w:val="nil"/>
              <w:bottom w:val="nil"/>
              <w:right w:val="nil"/>
            </w:tcBorders>
            <w:shd w:val="clear" w:color="auto" w:fill="auto"/>
            <w:noWrap/>
            <w:vAlign w:val="center"/>
          </w:tcPr>
          <w:p w14:paraId="0CF7C6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C2999C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right w:val="nil"/>
            </w:tcBorders>
            <w:shd w:val="clear" w:color="auto" w:fill="auto"/>
            <w:noWrap/>
            <w:vAlign w:val="center"/>
          </w:tcPr>
          <w:p w14:paraId="2C35ABD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 vs Shoulder</w:t>
            </w:r>
          </w:p>
        </w:tc>
        <w:tc>
          <w:tcPr>
            <w:tcW w:w="1231" w:type="dxa"/>
            <w:tcBorders>
              <w:top w:val="nil"/>
              <w:left w:val="nil"/>
              <w:right w:val="nil"/>
            </w:tcBorders>
            <w:shd w:val="clear" w:color="auto" w:fill="auto"/>
            <w:noWrap/>
            <w:vAlign w:val="center"/>
          </w:tcPr>
          <w:p w14:paraId="210A14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2.107</w:t>
            </w:r>
          </w:p>
        </w:tc>
        <w:tc>
          <w:tcPr>
            <w:tcW w:w="1392" w:type="dxa"/>
            <w:tcBorders>
              <w:top w:val="nil"/>
              <w:left w:val="nil"/>
              <w:right w:val="nil"/>
            </w:tcBorders>
            <w:shd w:val="clear" w:color="auto" w:fill="auto"/>
            <w:noWrap/>
            <w:vAlign w:val="center"/>
          </w:tcPr>
          <w:p w14:paraId="36BCC47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0.032</w:t>
            </w:r>
          </w:p>
        </w:tc>
        <w:tc>
          <w:tcPr>
            <w:tcW w:w="1080" w:type="dxa"/>
            <w:tcBorders>
              <w:top w:val="nil"/>
              <w:left w:val="nil"/>
              <w:right w:val="nil"/>
            </w:tcBorders>
            <w:shd w:val="clear" w:color="auto" w:fill="auto"/>
            <w:noWrap/>
            <w:vAlign w:val="center"/>
          </w:tcPr>
          <w:p w14:paraId="6545EF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0.091</w:t>
            </w:r>
          </w:p>
        </w:tc>
        <w:tc>
          <w:tcPr>
            <w:tcW w:w="1290" w:type="dxa"/>
            <w:tcBorders>
              <w:top w:val="nil"/>
              <w:left w:val="nil"/>
              <w:right w:val="nil"/>
            </w:tcBorders>
            <w:shd w:val="clear" w:color="auto" w:fill="auto"/>
            <w:noWrap/>
            <w:vAlign w:val="center"/>
          </w:tcPr>
          <w:p w14:paraId="6C3DA2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bl>
    <w:p w14:paraId="305BBBB9">
      <w:pPr>
        <w:spacing w:before="240" w:line="480" w:lineRule="auto"/>
        <w:jc w:val="both"/>
        <w:rPr>
          <w:rFonts w:hint="default" w:ascii="Arial" w:hAnsi="Arial" w:cs="Arial"/>
          <w:sz w:val="24"/>
          <w:szCs w:val="24"/>
          <w:lang w:val="en-GB"/>
        </w:rPr>
      </w:pPr>
    </w:p>
    <w:p w14:paraId="4A2D1871">
      <w:pPr>
        <w:spacing w:line="480" w:lineRule="auto"/>
        <w:jc w:val="both"/>
        <w:rPr>
          <w:rFonts w:ascii="Arial" w:hAnsi="Arial" w:cs="Arial"/>
          <w:b/>
          <w:sz w:val="24"/>
          <w:szCs w:val="24"/>
          <w:lang w:val="en-GB"/>
        </w:rPr>
      </w:pPr>
      <w:r>
        <w:rPr>
          <w:rFonts w:ascii="Arial" w:hAnsi="Arial" w:cs="Arial"/>
          <w:b/>
          <w:sz w:val="24"/>
          <w:szCs w:val="24"/>
          <w:lang w:val="en-GB"/>
        </w:rPr>
        <w:t xml:space="preserve">3.3. </w:t>
      </w:r>
      <w:r>
        <w:rPr>
          <w:rFonts w:ascii="Arial" w:hAnsi="Arial" w:cs="Arial"/>
          <w:b/>
          <w:sz w:val="24"/>
          <w:szCs w:val="24"/>
          <w:lang w:val="en-GB"/>
        </w:rPr>
        <w:tab/>
      </w:r>
      <w:r>
        <w:rPr>
          <w:rFonts w:ascii="Arial" w:hAnsi="Arial" w:cs="Arial"/>
          <w:b/>
          <w:sz w:val="24"/>
          <w:szCs w:val="24"/>
          <w:lang w:val="en-GB"/>
        </w:rPr>
        <w:t>Male and Female Tick community composition.</w:t>
      </w:r>
    </w:p>
    <w:p w14:paraId="3F0F8862">
      <w:pPr>
        <w:spacing w:line="480" w:lineRule="auto"/>
        <w:jc w:val="both"/>
        <w:rPr>
          <w:rFonts w:ascii="Arial" w:hAnsi="Arial" w:cs="Arial"/>
          <w:sz w:val="24"/>
          <w:szCs w:val="24"/>
          <w:lang w:val="en-GB"/>
        </w:rPr>
      </w:pPr>
      <w:r>
        <w:rPr>
          <w:rFonts w:ascii="Arial" w:hAnsi="Arial" w:cs="Arial"/>
          <w:sz w:val="24"/>
          <w:szCs w:val="24"/>
        </w:rPr>
        <w:t>The tick community structure by sex is illustrated in the NMDS plot (Fig. 4). The plot indicates that male ticks exhibit greater dispersion and heterogeneity compared to the relatively homogenous female ticks. PERMANOVA analysis revealed a significant difference (p &lt; 0.001) in the community structure between male and female ticks. Similarly, the test for homogeneity of dispersion showed significant differences (p &lt; 0.001) between the sexes</w:t>
      </w:r>
      <w:r>
        <w:rPr>
          <w:rFonts w:ascii="Arial" w:hAnsi="Arial" w:cs="Arial"/>
          <w:sz w:val="24"/>
          <w:szCs w:val="24"/>
          <w:lang w:val="en-GB"/>
        </w:rPr>
        <w:t>.</w:t>
      </w:r>
    </w:p>
    <w:p w14:paraId="51EFEF91">
      <w:pPr>
        <w:spacing w:line="480" w:lineRule="auto"/>
        <w:jc w:val="both"/>
        <w:rPr>
          <w:rFonts w:ascii="Arial" w:hAnsi="Arial" w:cs="Arial"/>
          <w:sz w:val="24"/>
          <w:szCs w:val="24"/>
          <w:lang w:val="en-GB"/>
        </w:rPr>
      </w:pPr>
      <w:r>
        <w:drawing>
          <wp:inline distT="0" distB="0" distL="114300" distR="114300">
            <wp:extent cx="5937885" cy="4422140"/>
            <wp:effectExtent l="0" t="0" r="5715"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5937885" cy="4422140"/>
                    </a:xfrm>
                    <a:prstGeom prst="rect">
                      <a:avLst/>
                    </a:prstGeom>
                    <a:noFill/>
                    <a:ln>
                      <a:noFill/>
                    </a:ln>
                  </pic:spPr>
                </pic:pic>
              </a:graphicData>
            </a:graphic>
          </wp:inline>
        </w:drawing>
      </w:r>
    </w:p>
    <w:p w14:paraId="7CC670F4">
      <w:pPr>
        <w:spacing w:line="480" w:lineRule="auto"/>
        <w:jc w:val="both"/>
        <w:rPr>
          <w:rFonts w:ascii="Arial" w:hAnsi="Arial" w:cs="Arial"/>
          <w:sz w:val="24"/>
          <w:szCs w:val="24"/>
          <w:lang w:val="en-GB"/>
        </w:rPr>
      </w:pPr>
      <w:r>
        <w:rPr>
          <w:rFonts w:ascii="Arial" w:hAnsi="Arial" w:cs="Arial"/>
          <w:b/>
          <w:sz w:val="24"/>
          <w:szCs w:val="24"/>
          <w:lang w:val="en-GB"/>
        </w:rPr>
        <w:t>Fig. 4</w:t>
      </w:r>
      <w:r>
        <w:rPr>
          <w:rFonts w:ascii="Arial" w:hAnsi="Arial" w:cs="Arial"/>
          <w:sz w:val="24"/>
          <w:szCs w:val="24"/>
          <w:lang w:val="en-GB"/>
        </w:rPr>
        <w:t xml:space="preserve"> Non-metric multidimensional scale (NMDS) plot showing points representing the </w:t>
      </w:r>
      <w:r>
        <w:rPr>
          <w:rFonts w:hint="default" w:ascii="Arial" w:hAnsi="Arial" w:cs="Arial"/>
          <w:sz w:val="24"/>
          <w:szCs w:val="24"/>
          <w:lang w:val="en-US"/>
        </w:rPr>
        <w:t xml:space="preserve">adult </w:t>
      </w:r>
      <w:r>
        <w:rPr>
          <w:rFonts w:ascii="Arial" w:hAnsi="Arial" w:cs="Arial"/>
          <w:sz w:val="24"/>
          <w:szCs w:val="24"/>
          <w:lang w:val="en-GB"/>
        </w:rPr>
        <w:t xml:space="preserve">tick community </w:t>
      </w:r>
      <w:r>
        <w:rPr>
          <w:rFonts w:hint="default" w:ascii="Arial" w:hAnsi="Arial" w:cs="Arial"/>
          <w:sz w:val="24"/>
          <w:szCs w:val="24"/>
          <w:lang w:val="en-US"/>
        </w:rPr>
        <w:t xml:space="preserve">across the cattle </w:t>
      </w:r>
      <w:r>
        <w:rPr>
          <w:rFonts w:ascii="Arial" w:hAnsi="Arial" w:cs="Arial"/>
          <w:sz w:val="24"/>
          <w:szCs w:val="24"/>
          <w:lang w:val="en-GB"/>
        </w:rPr>
        <w:t>predilection sites. Points are coloured according to tick sex</w:t>
      </w:r>
      <w:r>
        <w:rPr>
          <w:rFonts w:hint="default" w:ascii="Arial" w:hAnsi="Arial" w:cs="Arial"/>
          <w:sz w:val="24"/>
          <w:szCs w:val="24"/>
          <w:lang w:val="en-US"/>
        </w:rPr>
        <w:t>.</w:t>
      </w:r>
    </w:p>
    <w:p w14:paraId="6847DABA">
      <w:pPr>
        <w:spacing w:before="240" w:line="480" w:lineRule="auto"/>
        <w:jc w:val="both"/>
        <w:rPr>
          <w:rFonts w:ascii="Arial" w:hAnsi="Arial" w:cs="Arial"/>
          <w:b/>
          <w:sz w:val="24"/>
          <w:szCs w:val="24"/>
          <w:lang w:val="en-GB"/>
        </w:rPr>
      </w:pPr>
      <w:r>
        <w:rPr>
          <w:rFonts w:ascii="Arial" w:hAnsi="Arial" w:cs="Arial"/>
          <w:b/>
          <w:sz w:val="24"/>
          <w:szCs w:val="24"/>
          <w:lang w:val="en-GB"/>
        </w:rPr>
        <w:t xml:space="preserve">3.4. </w:t>
      </w:r>
      <w:r>
        <w:rPr>
          <w:rFonts w:ascii="Arial" w:hAnsi="Arial" w:cs="Arial"/>
          <w:b/>
          <w:sz w:val="24"/>
          <w:szCs w:val="24"/>
          <w:lang w:val="en-GB"/>
        </w:rPr>
        <w:tab/>
      </w:r>
      <w:r>
        <w:rPr>
          <w:rFonts w:ascii="Arial" w:hAnsi="Arial" w:cs="Arial"/>
          <w:b/>
          <w:sz w:val="24"/>
          <w:szCs w:val="24"/>
          <w:lang w:val="en-GB"/>
        </w:rPr>
        <w:t>Tick life cycle stage and community composition.</w:t>
      </w:r>
    </w:p>
    <w:p w14:paraId="3CBCA37C">
      <w:pPr>
        <w:spacing w:line="480" w:lineRule="auto"/>
        <w:jc w:val="both"/>
        <w:rPr>
          <w:rFonts w:ascii="Arial" w:hAnsi="Arial" w:cs="Arial"/>
          <w:sz w:val="24"/>
          <w:szCs w:val="24"/>
          <w:lang w:val="en-GB"/>
        </w:rPr>
      </w:pPr>
      <w:r>
        <w:rPr>
          <w:rFonts w:ascii="Arial" w:hAnsi="Arial" w:cs="Arial"/>
          <w:sz w:val="24"/>
          <w:szCs w:val="24"/>
        </w:rPr>
        <w:t>Two life cycle stages, nymph and adult, were identified. The NMDS plot (Fig. 5) illustrates the community structure of both stages. PERMANOVA analysis revealed a significant difference (p &lt; 0.001) in the community composition between the two stages. However, the test for multivariate dispersion showed no significant difference (p &gt; 0.05) between the stages.</w:t>
      </w:r>
    </w:p>
    <w:p w14:paraId="171BA86C">
      <w:pPr>
        <w:spacing w:line="480" w:lineRule="auto"/>
        <w:jc w:val="both"/>
        <w:rPr>
          <w:rFonts w:ascii="Arial" w:hAnsi="Arial" w:cs="Arial"/>
          <w:sz w:val="24"/>
          <w:szCs w:val="24"/>
          <w:lang w:val="en-GB"/>
        </w:rPr>
      </w:pPr>
    </w:p>
    <w:p w14:paraId="1B18F79A">
      <w:pPr>
        <w:spacing w:line="480" w:lineRule="auto"/>
        <w:jc w:val="both"/>
        <w:rPr>
          <w:rFonts w:ascii="Arial" w:hAnsi="Arial" w:cs="Arial"/>
          <w:sz w:val="24"/>
          <w:szCs w:val="24"/>
          <w:lang w:val="en-GB"/>
        </w:rPr>
      </w:pPr>
      <w:r>
        <w:rPr>
          <w:rFonts w:ascii="Arial" w:hAnsi="Arial" w:cs="Arial"/>
          <w:sz w:val="24"/>
          <w:szCs w:val="24"/>
        </w:rPr>
        <w:drawing>
          <wp:inline distT="0" distB="0" distL="0" distR="0">
            <wp:extent cx="5017135" cy="3762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29322" cy="3771050"/>
                    </a:xfrm>
                    <a:prstGeom prst="rect">
                      <a:avLst/>
                    </a:prstGeom>
                    <a:noFill/>
                  </pic:spPr>
                </pic:pic>
              </a:graphicData>
            </a:graphic>
          </wp:inline>
        </w:drawing>
      </w:r>
    </w:p>
    <w:p w14:paraId="27DF838C">
      <w:pPr>
        <w:spacing w:line="480" w:lineRule="auto"/>
        <w:jc w:val="both"/>
        <w:rPr>
          <w:rFonts w:ascii="Arial" w:hAnsi="Arial" w:cs="Arial"/>
          <w:sz w:val="24"/>
          <w:szCs w:val="24"/>
          <w:lang w:val="en-GB"/>
        </w:rPr>
      </w:pPr>
      <w:r>
        <w:rPr>
          <w:rFonts w:ascii="Arial" w:hAnsi="Arial" w:cs="Arial"/>
          <w:b/>
          <w:sz w:val="24"/>
          <w:szCs w:val="24"/>
          <w:lang w:val="en-GB"/>
        </w:rPr>
        <w:t>Fig. 5</w:t>
      </w:r>
      <w:r>
        <w:rPr>
          <w:rFonts w:ascii="Arial" w:hAnsi="Arial" w:cs="Arial"/>
          <w:sz w:val="24"/>
          <w:szCs w:val="24"/>
          <w:lang w:val="en-GB"/>
        </w:rPr>
        <w:t xml:space="preserve"> non-metric multidimensional scale (NMDS) plot showing points representing the tick community in predilection sites. Points are coloured according to tick life stage.</w:t>
      </w:r>
    </w:p>
    <w:p w14:paraId="2233DB68">
      <w:pPr>
        <w:spacing w:line="480" w:lineRule="auto"/>
        <w:jc w:val="both"/>
        <w:rPr>
          <w:rFonts w:ascii="Arial" w:hAnsi="Arial" w:cs="Arial"/>
          <w:sz w:val="24"/>
          <w:szCs w:val="24"/>
          <w:lang w:val="en-GB"/>
        </w:rPr>
      </w:pPr>
      <w:r>
        <w:rPr>
          <w:rFonts w:ascii="Arial" w:hAnsi="Arial" w:cs="Arial"/>
          <w:sz w:val="24"/>
          <w:szCs w:val="24"/>
        </w:rPr>
        <w:t xml:space="preserve">The most abundant ticks, including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xml:space="preserve"> geigyi</w:t>
      </w:r>
      <w:r>
        <w:rPr>
          <w:rFonts w:ascii="Arial" w:hAnsi="Arial" w:cs="Arial"/>
          <w:sz w:val="24"/>
          <w:szCs w:val="24"/>
        </w:rPr>
        <w:t xml:space="preserve">, were well represented across all predilection sites of the cattle (Fig. 6). </w:t>
      </w:r>
      <w:r>
        <w:rPr>
          <w:rFonts w:ascii="Arial" w:hAnsi="Arial" w:cs="Arial"/>
          <w:i/>
          <w:iCs/>
          <w:sz w:val="24"/>
          <w:szCs w:val="24"/>
        </w:rPr>
        <w:t xml:space="preserve">A. </w:t>
      </w:r>
      <w:r>
        <w:rPr>
          <w:rFonts w:hint="default" w:ascii="Arial" w:hAnsi="Arial"/>
          <w:i/>
          <w:iCs/>
          <w:sz w:val="24"/>
          <w:szCs w:val="24"/>
        </w:rPr>
        <w:t>cohaerens</w:t>
      </w:r>
      <w:r>
        <w:rPr>
          <w:rFonts w:hint="default" w:ascii="Arial" w:hAnsi="Arial"/>
          <w:i/>
          <w:iCs/>
          <w:sz w:val="24"/>
          <w:szCs w:val="24"/>
          <w:lang w:val="en-US"/>
        </w:rPr>
        <w:t xml:space="preserve"> </w:t>
      </w:r>
      <w:r>
        <w:rPr>
          <w:rFonts w:ascii="Arial" w:hAnsi="Arial" w:cs="Arial"/>
          <w:sz w:val="24"/>
          <w:szCs w:val="24"/>
        </w:rPr>
        <w:t xml:space="preserve">and </w:t>
      </w:r>
      <w:r>
        <w:rPr>
          <w:rFonts w:ascii="Arial" w:hAnsi="Arial" w:cs="Arial"/>
          <w:i/>
          <w:iCs/>
          <w:sz w:val="24"/>
          <w:szCs w:val="24"/>
        </w:rPr>
        <w:t>A. variegatum</w:t>
      </w:r>
      <w:r>
        <w:rPr>
          <w:rFonts w:ascii="Arial" w:hAnsi="Arial" w:cs="Arial"/>
          <w:sz w:val="24"/>
          <w:szCs w:val="24"/>
        </w:rPr>
        <w:t xml:space="preserve"> were observed in all predilection sites except the shoulders. </w:t>
      </w:r>
      <w:r>
        <w:rPr>
          <w:rFonts w:hint="default" w:ascii="Arial" w:hAnsi="Arial" w:cs="Arial"/>
          <w:i/>
          <w:iCs/>
          <w:sz w:val="24"/>
          <w:szCs w:val="24"/>
          <w:lang w:val="en-US"/>
        </w:rPr>
        <w:t>A</w:t>
      </w:r>
      <w:r>
        <w:rPr>
          <w:rFonts w:ascii="Arial" w:hAnsi="Arial" w:cs="Arial"/>
          <w:i/>
          <w:iCs/>
          <w:sz w:val="24"/>
          <w:szCs w:val="24"/>
        </w:rPr>
        <w:t>. gemma</w:t>
      </w:r>
      <w:r>
        <w:rPr>
          <w:rFonts w:ascii="Arial" w:hAnsi="Arial" w:cs="Arial"/>
          <w:sz w:val="24"/>
          <w:szCs w:val="24"/>
        </w:rPr>
        <w:t xml:space="preserve"> and </w:t>
      </w:r>
      <w:r>
        <w:rPr>
          <w:rFonts w:hint="default" w:ascii="Arial" w:hAnsi="Arial" w:cs="Arial"/>
          <w:i/>
          <w:iCs/>
          <w:sz w:val="24"/>
          <w:szCs w:val="24"/>
          <w:lang w:val="en-US"/>
        </w:rPr>
        <w:t xml:space="preserve">Rhipicephalus </w:t>
      </w:r>
      <w:r>
        <w:rPr>
          <w:rFonts w:ascii="Arial" w:hAnsi="Arial" w:cs="Arial"/>
          <w:sz w:val="24"/>
          <w:szCs w:val="24"/>
        </w:rPr>
        <w:t>sp. were each restricted to a single predilection site—head</w:t>
      </w:r>
      <w:r>
        <w:rPr>
          <w:rFonts w:hint="default" w:ascii="Arial" w:hAnsi="Arial" w:cs="Arial"/>
          <w:sz w:val="24"/>
          <w:szCs w:val="24"/>
          <w:lang w:val="en-US"/>
        </w:rPr>
        <w:t xml:space="preserve"> </w:t>
      </w:r>
      <w:r>
        <w:rPr>
          <w:rFonts w:ascii="Arial" w:hAnsi="Arial" w:cs="Arial"/>
          <w:sz w:val="24"/>
          <w:szCs w:val="24"/>
        </w:rPr>
        <w:t xml:space="preserve">and tail, respectively. </w:t>
      </w:r>
      <w:r>
        <w:rPr>
          <w:rFonts w:ascii="Arial" w:hAnsi="Arial" w:cs="Arial"/>
          <w:i/>
          <w:iCs/>
          <w:sz w:val="24"/>
          <w:szCs w:val="24"/>
        </w:rPr>
        <w:t xml:space="preserve">H. </w:t>
      </w:r>
      <w:r>
        <w:rPr>
          <w:rFonts w:hint="default" w:ascii="Arial" w:hAnsi="Arial"/>
          <w:i/>
          <w:iCs/>
          <w:sz w:val="24"/>
          <w:szCs w:val="24"/>
        </w:rPr>
        <w:t>leachi</w:t>
      </w:r>
      <w:r>
        <w:rPr>
          <w:rFonts w:hint="default" w:ascii="Arial" w:hAnsi="Arial"/>
          <w:i/>
          <w:iCs/>
          <w:sz w:val="24"/>
          <w:szCs w:val="24"/>
          <w:lang w:val="en-US"/>
        </w:rPr>
        <w:t xml:space="preserve"> </w:t>
      </w:r>
      <w:bookmarkStart w:id="0" w:name="_GoBack"/>
      <w:bookmarkEnd w:id="0"/>
      <w:r>
        <w:rPr>
          <w:rFonts w:hint="default" w:ascii="Arial" w:hAnsi="Arial" w:cs="Arial"/>
          <w:sz w:val="24"/>
          <w:szCs w:val="24"/>
          <w:lang w:val="en-US"/>
        </w:rPr>
        <w:t>was</w:t>
      </w:r>
      <w:r>
        <w:rPr>
          <w:rFonts w:ascii="Arial" w:hAnsi="Arial" w:cs="Arial"/>
          <w:sz w:val="24"/>
          <w:szCs w:val="24"/>
        </w:rPr>
        <w:t xml:space="preserve"> found only on the head and tail of the cattle (Fig. 6).</w:t>
      </w:r>
      <w:r>
        <w:rPr>
          <w:rFonts w:ascii="Arial" w:hAnsi="Arial" w:cs="Arial"/>
          <w:sz w:val="24"/>
          <w:szCs w:val="24"/>
          <w:lang w:val="en-GB"/>
        </w:rPr>
        <w:t xml:space="preserve"> </w:t>
      </w:r>
    </w:p>
    <w:p w14:paraId="7821EAF3">
      <w:pPr>
        <w:spacing w:line="480" w:lineRule="auto"/>
        <w:jc w:val="both"/>
        <w:rPr>
          <w:rFonts w:ascii="Arial" w:hAnsi="Arial" w:cs="Arial"/>
          <w:sz w:val="24"/>
          <w:szCs w:val="24"/>
          <w:lang w:val="en-GB"/>
        </w:rPr>
      </w:pPr>
      <w:r>
        <w:drawing>
          <wp:inline distT="0" distB="0" distL="114300" distR="114300">
            <wp:extent cx="5939790" cy="3048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939790" cy="3048000"/>
                    </a:xfrm>
                    <a:prstGeom prst="rect">
                      <a:avLst/>
                    </a:prstGeom>
                    <a:noFill/>
                    <a:ln>
                      <a:noFill/>
                    </a:ln>
                  </pic:spPr>
                </pic:pic>
              </a:graphicData>
            </a:graphic>
          </wp:inline>
        </w:drawing>
      </w:r>
    </w:p>
    <w:p w14:paraId="483F5CE5">
      <w:pPr>
        <w:spacing w:line="480" w:lineRule="auto"/>
        <w:jc w:val="both"/>
        <w:rPr>
          <w:rFonts w:ascii="Arial" w:hAnsi="Arial" w:cs="Arial"/>
          <w:sz w:val="24"/>
          <w:szCs w:val="24"/>
          <w:lang w:val="en-GB"/>
        </w:rPr>
      </w:pPr>
      <w:r>
        <w:rPr>
          <w:rFonts w:ascii="Arial" w:hAnsi="Arial" w:cs="Arial"/>
          <w:b/>
          <w:sz w:val="24"/>
          <w:szCs w:val="24"/>
          <w:lang w:val="en-GB"/>
        </w:rPr>
        <w:t>Fig. 6</w:t>
      </w:r>
      <w:r>
        <w:rPr>
          <w:rFonts w:ascii="Arial" w:hAnsi="Arial" w:cs="Arial"/>
          <w:sz w:val="24"/>
          <w:szCs w:val="24"/>
          <w:lang w:val="en-GB"/>
        </w:rPr>
        <w:t xml:space="preserve"> Abundance of tick species at each predilection site of cattle. Numbers embedded on the bars represent actual counts of the species.</w:t>
      </w:r>
    </w:p>
    <w:p w14:paraId="32F786DA">
      <w:pPr>
        <w:spacing w:line="480" w:lineRule="auto"/>
        <w:jc w:val="both"/>
        <w:rPr>
          <w:rFonts w:ascii="Arial" w:hAnsi="Arial" w:cs="Arial"/>
          <w:b/>
          <w:sz w:val="24"/>
          <w:szCs w:val="24"/>
          <w:lang w:val="en-GB"/>
        </w:rPr>
      </w:pPr>
      <w:r>
        <w:rPr>
          <w:rFonts w:ascii="Arial" w:hAnsi="Arial" w:cs="Arial"/>
          <w:b/>
          <w:sz w:val="24"/>
          <w:szCs w:val="24"/>
          <w:lang w:val="en-GB"/>
        </w:rPr>
        <w:t xml:space="preserve">3.5. </w:t>
      </w:r>
      <w:r>
        <w:rPr>
          <w:rFonts w:ascii="Arial" w:hAnsi="Arial" w:cs="Arial"/>
          <w:b/>
          <w:sz w:val="24"/>
          <w:szCs w:val="24"/>
          <w:lang w:val="en-GB"/>
        </w:rPr>
        <w:tab/>
      </w:r>
      <w:r>
        <w:rPr>
          <w:rFonts w:ascii="Arial" w:hAnsi="Arial" w:cs="Arial"/>
          <w:b/>
          <w:sz w:val="24"/>
          <w:szCs w:val="24"/>
          <w:lang w:val="en-GB"/>
        </w:rPr>
        <w:t xml:space="preserve">Species richness and taxonomic diversity of ticks </w:t>
      </w:r>
    </w:p>
    <w:p w14:paraId="5CFD29E4">
      <w:pPr>
        <w:spacing w:line="480" w:lineRule="auto"/>
        <w:jc w:val="both"/>
        <w:rPr>
          <w:rFonts w:ascii="Arial" w:hAnsi="Arial" w:cs="Arial"/>
          <w:sz w:val="24"/>
          <w:szCs w:val="24"/>
          <w:lang w:val="en-GB"/>
        </w:rPr>
      </w:pPr>
      <w:r>
        <w:rPr>
          <w:rFonts w:ascii="Arial" w:hAnsi="Arial" w:cs="Arial"/>
          <w:sz w:val="24"/>
          <w:szCs w:val="24"/>
        </w:rPr>
        <w:t xml:space="preserve">Fig. 7 illustrates the species accumulation curve (SAC) estimating the species richness of ticks sampled at the cattle market. The observed number of tick species was </w:t>
      </w:r>
      <w:r>
        <w:rPr>
          <w:rFonts w:hint="default" w:ascii="Arial" w:hAnsi="Arial" w:cs="Arial"/>
          <w:sz w:val="24"/>
          <w:szCs w:val="24"/>
          <w:lang w:val="en-US"/>
        </w:rPr>
        <w:t>13</w:t>
      </w:r>
      <w:r>
        <w:rPr>
          <w:rFonts w:ascii="Arial" w:hAnsi="Arial" w:cs="Arial"/>
          <w:sz w:val="24"/>
          <w:szCs w:val="24"/>
        </w:rPr>
        <w:t>. However, the SAC exhibits a mild upward trend, indicating that additional sampling of ticks from more cattle in the market would likely reveal further species. This trend is supported by species richness estimates: the Chao 2 method predicts 1</w:t>
      </w:r>
      <w:r>
        <w:rPr>
          <w:rFonts w:hint="default" w:ascii="Arial" w:hAnsi="Arial" w:cs="Arial"/>
          <w:sz w:val="24"/>
          <w:szCs w:val="24"/>
          <w:lang w:val="en-US"/>
        </w:rPr>
        <w:t>3</w:t>
      </w:r>
      <w:r>
        <w:rPr>
          <w:rFonts w:ascii="Arial" w:hAnsi="Arial" w:cs="Arial"/>
          <w:sz w:val="24"/>
          <w:szCs w:val="24"/>
        </w:rPr>
        <w:t xml:space="preserve"> species, while the Jackknife 2 method suggests </w:t>
      </w:r>
      <w:r>
        <w:rPr>
          <w:rFonts w:hint="default" w:ascii="Arial" w:hAnsi="Arial" w:cs="Arial"/>
          <w:sz w:val="24"/>
          <w:szCs w:val="24"/>
          <w:lang w:val="en-US"/>
        </w:rPr>
        <w:t>15</w:t>
      </w:r>
      <w:r>
        <w:rPr>
          <w:rFonts w:ascii="Arial" w:hAnsi="Arial" w:cs="Arial"/>
          <w:sz w:val="24"/>
          <w:szCs w:val="24"/>
        </w:rPr>
        <w:t xml:space="preserve"> species in the area.</w:t>
      </w:r>
      <w:r>
        <w:rPr>
          <w:rFonts w:ascii="Arial" w:hAnsi="Arial" w:cs="Arial"/>
          <w:sz w:val="24"/>
          <w:szCs w:val="24"/>
          <w:lang w:val="en-GB"/>
        </w:rPr>
        <w:t xml:space="preserve"> </w:t>
      </w:r>
    </w:p>
    <w:p w14:paraId="773D01B7">
      <w:pPr>
        <w:spacing w:line="480" w:lineRule="auto"/>
        <w:jc w:val="center"/>
        <w:rPr>
          <w:rFonts w:ascii="Arial" w:hAnsi="Arial" w:cs="Arial"/>
          <w:sz w:val="24"/>
          <w:szCs w:val="24"/>
          <w:lang w:val="en-GB"/>
        </w:rPr>
      </w:pPr>
      <w:r>
        <w:drawing>
          <wp:inline distT="0" distB="0" distL="114300" distR="114300">
            <wp:extent cx="5062220" cy="3204845"/>
            <wp:effectExtent l="0" t="0" r="12700" b="1079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pic:cNvPicPr>
                      <a:picLocks noChangeAspect="1"/>
                    </pic:cNvPicPr>
                  </pic:nvPicPr>
                  <pic:blipFill>
                    <a:blip r:embed="rId13"/>
                    <a:stretch>
                      <a:fillRect/>
                    </a:stretch>
                  </pic:blipFill>
                  <pic:spPr>
                    <a:xfrm>
                      <a:off x="0" y="0"/>
                      <a:ext cx="5062220" cy="3204845"/>
                    </a:xfrm>
                    <a:prstGeom prst="rect">
                      <a:avLst/>
                    </a:prstGeom>
                    <a:noFill/>
                    <a:ln>
                      <a:noFill/>
                    </a:ln>
                  </pic:spPr>
                </pic:pic>
              </a:graphicData>
            </a:graphic>
          </wp:inline>
        </w:drawing>
      </w:r>
    </w:p>
    <w:p w14:paraId="7A77CD47">
      <w:pPr>
        <w:spacing w:line="480" w:lineRule="auto"/>
        <w:jc w:val="both"/>
        <w:rPr>
          <w:rFonts w:ascii="Arial" w:hAnsi="Arial" w:cs="Arial"/>
          <w:sz w:val="24"/>
          <w:szCs w:val="24"/>
          <w:lang w:val="en-GB"/>
        </w:rPr>
      </w:pPr>
      <w:r>
        <w:rPr>
          <w:rFonts w:ascii="Arial" w:hAnsi="Arial" w:cs="Arial"/>
          <w:b/>
          <w:sz w:val="24"/>
          <w:szCs w:val="24"/>
          <w:lang w:val="en-GB"/>
        </w:rPr>
        <w:t>Fig. 7</w:t>
      </w:r>
      <w:r>
        <w:rPr>
          <w:rFonts w:ascii="Arial" w:hAnsi="Arial" w:cs="Arial"/>
          <w:sz w:val="24"/>
          <w:szCs w:val="24"/>
          <w:lang w:val="en-GB"/>
        </w:rPr>
        <w:t xml:space="preserve"> Species accumulation curve (SAC) of ticks sampled from 95 cattle in the market.</w:t>
      </w:r>
    </w:p>
    <w:p w14:paraId="1816D3EB">
      <w:pPr>
        <w:spacing w:line="480" w:lineRule="auto"/>
        <w:jc w:val="both"/>
        <w:rPr>
          <w:rFonts w:ascii="Arial" w:hAnsi="Arial" w:cs="Arial"/>
          <w:sz w:val="24"/>
          <w:szCs w:val="24"/>
          <w:lang w:val="en-GB"/>
        </w:rPr>
      </w:pPr>
      <w:r>
        <w:rPr>
          <w:rFonts w:ascii="Arial" w:hAnsi="Arial" w:cs="Arial"/>
          <w:sz w:val="24"/>
          <w:szCs w:val="24"/>
        </w:rPr>
        <w:t>Fig. 8 depicts the overall tick abundance across predilection areas. The belly exhibited the highest mean abundance (7.32 ± 0.62), followed by the leg (6.51 ± 0.68), neck (6.13 ± 0.64), head (6.03 ± 0.55), and tail (5.49 ± 0.77). The shoulders had the lowest tick abundance, with a mean of 4.30 ± 0.55. The negative binomial model indicated that tick abundance on the shoulders was significantly lower (p &lt; 0.05) compared to the belly.</w:t>
      </w:r>
      <w:r>
        <w:rPr>
          <w:rFonts w:ascii="Arial" w:hAnsi="Arial" w:cs="Arial"/>
          <w:sz w:val="24"/>
          <w:szCs w:val="24"/>
          <w:lang w:val="en-GB"/>
        </w:rPr>
        <w:t xml:space="preserve"> </w:t>
      </w:r>
    </w:p>
    <w:p w14:paraId="6FEAEA2A">
      <w:pPr>
        <w:spacing w:line="480" w:lineRule="auto"/>
        <w:jc w:val="both"/>
        <w:rPr>
          <w:rFonts w:ascii="Arial" w:hAnsi="Arial" w:cs="Arial"/>
          <w:sz w:val="24"/>
          <w:szCs w:val="24"/>
        </w:rPr>
      </w:pPr>
      <w:r>
        <w:rPr>
          <w:rFonts w:ascii="Arial" w:hAnsi="Arial" w:cs="Arial"/>
          <w:sz w:val="24"/>
          <w:szCs w:val="24"/>
        </w:rPr>
        <w:drawing>
          <wp:inline distT="0" distB="0" distL="0" distR="0">
            <wp:extent cx="5293360" cy="3105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324325" cy="3122958"/>
                    </a:xfrm>
                    <a:prstGeom prst="rect">
                      <a:avLst/>
                    </a:prstGeom>
                    <a:noFill/>
                  </pic:spPr>
                </pic:pic>
              </a:graphicData>
            </a:graphic>
          </wp:inline>
        </w:drawing>
      </w:r>
    </w:p>
    <w:p w14:paraId="3ECC8CE7">
      <w:pPr>
        <w:spacing w:line="480" w:lineRule="auto"/>
        <w:rPr>
          <w:rFonts w:ascii="Arial" w:hAnsi="Arial" w:cs="Arial"/>
          <w:sz w:val="24"/>
          <w:szCs w:val="24"/>
          <w:lang w:val="en-GB"/>
        </w:rPr>
      </w:pPr>
      <w:r>
        <w:rPr>
          <w:rFonts w:ascii="Arial" w:hAnsi="Arial" w:cs="Arial"/>
          <w:b/>
          <w:sz w:val="24"/>
          <w:szCs w:val="24"/>
          <w:lang w:val="en-GB"/>
        </w:rPr>
        <w:t>Fig. 8</w:t>
      </w:r>
      <w:r>
        <w:rPr>
          <w:rFonts w:ascii="Arial" w:hAnsi="Arial" w:cs="Arial"/>
          <w:sz w:val="24"/>
          <w:szCs w:val="24"/>
          <w:lang w:val="en-GB"/>
        </w:rPr>
        <w:t xml:space="preserve"> Abundance of ticks at the predilection areas in cattle sampled. Different letters show significant differences between predilections.</w:t>
      </w:r>
    </w:p>
    <w:p w14:paraId="71433182">
      <w:pPr>
        <w:spacing w:before="240" w:line="480" w:lineRule="auto"/>
        <w:jc w:val="both"/>
        <w:rPr>
          <w:rFonts w:ascii="Arial" w:hAnsi="Arial" w:cs="Arial"/>
          <w:sz w:val="24"/>
          <w:szCs w:val="24"/>
          <w:lang w:val="en-GB"/>
        </w:rPr>
      </w:pPr>
      <w:r>
        <w:rPr>
          <w:rFonts w:ascii="Arial" w:hAnsi="Arial" w:cs="Arial"/>
          <w:sz w:val="24"/>
          <w:szCs w:val="24"/>
        </w:rPr>
        <w:t>The median species richness across all predilection sites was two (Fig. 9). While variation in tick richness was not significant, the head exhibited the highest mean tick-species richness (2.42 ± 0.55), followed by the tail (2.</w:t>
      </w:r>
      <w:r>
        <w:rPr>
          <w:rFonts w:hint="default" w:ascii="Arial" w:hAnsi="Arial" w:cs="Arial"/>
          <w:sz w:val="24"/>
          <w:szCs w:val="24"/>
          <w:lang w:val="en-US"/>
        </w:rPr>
        <w:t>20</w:t>
      </w:r>
      <w:r>
        <w:rPr>
          <w:rFonts w:ascii="Arial" w:hAnsi="Arial" w:cs="Arial"/>
          <w:sz w:val="24"/>
          <w:szCs w:val="24"/>
        </w:rPr>
        <w:t xml:space="preserve"> ± 0.77), belly (2.13 ± 0.62), and neck (2.09 ± 0.64). The legs had the lowest richness (1.98 ± 0.68). Although most cattle hosted a median of two tick species, a few exhibited infestations of up to five distinct tick species on the head and tail (Fig. 9).</w:t>
      </w:r>
    </w:p>
    <w:p w14:paraId="194ECCCC">
      <w:pPr>
        <w:spacing w:line="480" w:lineRule="auto"/>
        <w:jc w:val="both"/>
        <w:rPr>
          <w:rFonts w:ascii="Arial" w:hAnsi="Arial" w:cs="Arial"/>
          <w:sz w:val="24"/>
          <w:szCs w:val="24"/>
        </w:rPr>
      </w:pPr>
      <w:r>
        <w:rPr>
          <w:rFonts w:ascii="Arial" w:hAnsi="Arial" w:cs="Arial"/>
          <w:sz w:val="24"/>
          <w:szCs w:val="24"/>
          <w:lang w:val="en-GB"/>
        </w:rPr>
        <w:t xml:space="preserve"> </w:t>
      </w:r>
      <w:r>
        <w:rPr>
          <w:rFonts w:ascii="Arial" w:hAnsi="Arial" w:cs="Arial"/>
          <w:sz w:val="24"/>
          <w:szCs w:val="24"/>
        </w:rPr>
        <w:drawing>
          <wp:inline distT="0" distB="0" distL="0" distR="0">
            <wp:extent cx="5128260" cy="2971800"/>
            <wp:effectExtent l="0" t="0" r="0" b="0"/>
            <wp:docPr id="6" name="Picture 6" descr="C:\Users\DELL\Documents\Git in R\Ticks\Notes &amp; Figures\Taxa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Documents\Git in R\Ticks\Notes &amp; Figures\Taxa_S.jpg"/>
                    <pic:cNvPicPr>
                      <a:picLocks noChangeAspect="1" noChangeArrowheads="1"/>
                    </pic:cNvPicPr>
                  </pic:nvPicPr>
                  <pic:blipFill>
                    <a:blip r:embed="rId15" cstate="print">
                      <a:extLst>
                        <a:ext uri="{28A0092B-C50C-407E-A947-70E740481C1C}">
                          <a14:useLocalDpi xmlns:a14="http://schemas.microsoft.com/office/drawing/2010/main" val="0"/>
                        </a:ext>
                      </a:extLst>
                    </a:blip>
                    <a:srcRect r="13718"/>
                    <a:stretch>
                      <a:fillRect/>
                    </a:stretch>
                  </pic:blipFill>
                  <pic:spPr>
                    <a:xfrm>
                      <a:off x="0" y="0"/>
                      <a:ext cx="5128260" cy="2971800"/>
                    </a:xfrm>
                    <a:prstGeom prst="rect">
                      <a:avLst/>
                    </a:prstGeom>
                    <a:noFill/>
                    <a:ln>
                      <a:noFill/>
                    </a:ln>
                  </pic:spPr>
                </pic:pic>
              </a:graphicData>
            </a:graphic>
          </wp:inline>
        </w:drawing>
      </w:r>
    </w:p>
    <w:p w14:paraId="04EA14A7">
      <w:pPr>
        <w:spacing w:line="480" w:lineRule="auto"/>
        <w:jc w:val="both"/>
        <w:rPr>
          <w:rFonts w:hint="default" w:ascii="Arial" w:hAnsi="Arial" w:cs="Arial"/>
          <w:sz w:val="24"/>
          <w:szCs w:val="24"/>
          <w:lang w:val="en-US"/>
        </w:rPr>
      </w:pPr>
    </w:p>
    <w:p w14:paraId="7F136242">
      <w:pPr>
        <w:spacing w:line="480" w:lineRule="auto"/>
        <w:jc w:val="both"/>
        <w:rPr>
          <w:rFonts w:ascii="Arial" w:hAnsi="Arial" w:cs="Arial"/>
          <w:sz w:val="24"/>
          <w:szCs w:val="24"/>
          <w:lang w:val="en-GB"/>
        </w:rPr>
      </w:pPr>
      <w:r>
        <w:rPr>
          <w:rFonts w:ascii="Arial" w:hAnsi="Arial" w:cs="Arial"/>
          <w:b/>
          <w:sz w:val="24"/>
          <w:szCs w:val="24"/>
          <w:lang w:val="en-GB"/>
        </w:rPr>
        <w:t xml:space="preserve">Fig. 9 </w:t>
      </w:r>
      <w:r>
        <w:rPr>
          <w:rFonts w:ascii="Arial" w:hAnsi="Arial" w:cs="Arial"/>
          <w:sz w:val="24"/>
          <w:szCs w:val="24"/>
          <w:lang w:val="en-GB"/>
        </w:rPr>
        <w:t xml:space="preserve">Species richness of ticks at the predilection areas in cattle sampled. </w:t>
      </w:r>
    </w:p>
    <w:p w14:paraId="238A541C">
      <w:pPr>
        <w:spacing w:before="240" w:line="480" w:lineRule="auto"/>
        <w:jc w:val="both"/>
        <w:rPr>
          <w:rFonts w:ascii="Arial" w:hAnsi="Arial" w:cs="Arial"/>
          <w:sz w:val="24"/>
          <w:szCs w:val="24"/>
          <w:lang w:val="en-GB"/>
        </w:rPr>
      </w:pPr>
      <w:r>
        <w:rPr>
          <w:rFonts w:ascii="Arial" w:hAnsi="Arial" w:cs="Arial"/>
          <w:sz w:val="24"/>
          <w:szCs w:val="24"/>
        </w:rPr>
        <w:t>Fig. 10 presents Margalef diversity estimates of ticks across the predilection sites. Although the index did not show significant variation (p &gt; 0.05), slight differences were observed. The head exhibited the highest mean Margalef index (0.8</w:t>
      </w:r>
      <w:r>
        <w:rPr>
          <w:rFonts w:hint="default" w:ascii="Arial" w:hAnsi="Arial" w:cs="Arial"/>
          <w:sz w:val="24"/>
          <w:szCs w:val="24"/>
          <w:lang w:val="en-US"/>
        </w:rPr>
        <w:t>4</w:t>
      </w:r>
      <w:r>
        <w:rPr>
          <w:rFonts w:ascii="Arial" w:hAnsi="Arial" w:cs="Arial"/>
          <w:sz w:val="24"/>
          <w:szCs w:val="24"/>
        </w:rPr>
        <w:t xml:space="preserve"> ± 0.07), followed by the tail (0.65 ± 0.07), neck (0.64 ± 0.07), belly (0.6</w:t>
      </w:r>
      <w:r>
        <w:rPr>
          <w:rFonts w:hint="default" w:ascii="Arial" w:hAnsi="Arial" w:cs="Arial"/>
          <w:sz w:val="24"/>
          <w:szCs w:val="24"/>
          <w:lang w:val="en-US"/>
        </w:rPr>
        <w:t>4</w:t>
      </w:r>
      <w:r>
        <w:rPr>
          <w:rFonts w:ascii="Arial" w:hAnsi="Arial" w:cs="Arial"/>
          <w:sz w:val="24"/>
          <w:szCs w:val="24"/>
        </w:rPr>
        <w:t xml:space="preserve"> ± 0.07), and shoulder (0.62 ± 0.13). The legs recorded the lowest Margalef index (0.57 ± 0.06) among all predilection sites.</w:t>
      </w:r>
      <w:r>
        <w:rPr>
          <w:rFonts w:ascii="Arial" w:hAnsi="Arial" w:cs="Arial"/>
          <w:sz w:val="24"/>
          <w:szCs w:val="24"/>
          <w:lang w:val="en-GB"/>
        </w:rPr>
        <w:t xml:space="preserve"> </w:t>
      </w:r>
    </w:p>
    <w:p w14:paraId="54543D4C">
      <w:pPr>
        <w:spacing w:line="480" w:lineRule="auto"/>
        <w:jc w:val="both"/>
        <w:rPr>
          <w:rFonts w:ascii="Arial" w:hAnsi="Arial" w:cs="Arial"/>
          <w:sz w:val="24"/>
          <w:szCs w:val="24"/>
        </w:rPr>
      </w:pPr>
      <w:r>
        <w:rPr>
          <w:rFonts w:ascii="Arial" w:hAnsi="Arial" w:cs="Arial"/>
          <w:sz w:val="24"/>
          <w:szCs w:val="24"/>
        </w:rPr>
        <w:drawing>
          <wp:inline distT="0" distB="0" distL="0" distR="0">
            <wp:extent cx="5321935" cy="3063875"/>
            <wp:effectExtent l="0" t="0" r="12065" b="14605"/>
            <wp:docPr id="9" name="Picture 9" descr="C:\Users\DELL\Documents\Git in R\Ticks\Notes &amp; Figures\Margal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DELL\Documents\Git in R\Ticks\Notes &amp; Figures\Margalef.jpg"/>
                    <pic:cNvPicPr>
                      <a:picLocks noChangeAspect="1" noChangeArrowheads="1"/>
                    </pic:cNvPicPr>
                  </pic:nvPicPr>
                  <pic:blipFill>
                    <a:blip r:embed="rId16" cstate="print">
                      <a:extLst>
                        <a:ext uri="{28A0092B-C50C-407E-A947-70E740481C1C}">
                          <a14:useLocalDpi xmlns:a14="http://schemas.microsoft.com/office/drawing/2010/main" val="0"/>
                        </a:ext>
                      </a:extLst>
                    </a:blip>
                    <a:srcRect r="13141"/>
                    <a:stretch>
                      <a:fillRect/>
                    </a:stretch>
                  </pic:blipFill>
                  <pic:spPr>
                    <a:xfrm>
                      <a:off x="0" y="0"/>
                      <a:ext cx="5321935" cy="3063875"/>
                    </a:xfrm>
                    <a:prstGeom prst="rect">
                      <a:avLst/>
                    </a:prstGeom>
                    <a:noFill/>
                    <a:ln>
                      <a:noFill/>
                    </a:ln>
                  </pic:spPr>
                </pic:pic>
              </a:graphicData>
            </a:graphic>
          </wp:inline>
        </w:drawing>
      </w:r>
    </w:p>
    <w:p w14:paraId="3EC0639A">
      <w:pPr>
        <w:spacing w:line="480" w:lineRule="auto"/>
        <w:jc w:val="both"/>
        <w:rPr>
          <w:rFonts w:ascii="Arial" w:hAnsi="Arial" w:cs="Arial"/>
          <w:sz w:val="24"/>
          <w:szCs w:val="24"/>
          <w:lang w:val="en-GB"/>
        </w:rPr>
      </w:pPr>
      <w:r>
        <w:rPr>
          <w:rFonts w:ascii="Arial" w:hAnsi="Arial" w:cs="Arial"/>
          <w:b/>
          <w:sz w:val="24"/>
          <w:szCs w:val="24"/>
          <w:lang w:val="en-GB"/>
        </w:rPr>
        <w:t>Fig. 10</w:t>
      </w:r>
      <w:r>
        <w:rPr>
          <w:rFonts w:ascii="Arial" w:hAnsi="Arial" w:cs="Arial"/>
          <w:sz w:val="24"/>
          <w:szCs w:val="24"/>
          <w:lang w:val="en-GB"/>
        </w:rPr>
        <w:t xml:space="preserve"> Margalef index of ticks at the predilection areas in cattle sampled. </w:t>
      </w:r>
    </w:p>
    <w:p w14:paraId="15EA386D">
      <w:pPr>
        <w:spacing w:line="480" w:lineRule="auto"/>
        <w:jc w:val="both"/>
        <w:rPr>
          <w:rFonts w:ascii="Arial" w:hAnsi="Arial" w:cs="Arial"/>
          <w:b/>
          <w:sz w:val="24"/>
          <w:szCs w:val="24"/>
          <w:lang w:val="en-GB"/>
        </w:rPr>
      </w:pPr>
      <w:r>
        <w:rPr>
          <w:rFonts w:ascii="Arial" w:hAnsi="Arial" w:cs="Arial"/>
          <w:b/>
          <w:sz w:val="24"/>
          <w:szCs w:val="24"/>
          <w:lang w:val="en-GB"/>
        </w:rPr>
        <w:t xml:space="preserve">3.6. </w:t>
      </w:r>
      <w:r>
        <w:rPr>
          <w:rFonts w:ascii="Arial" w:hAnsi="Arial" w:cs="Arial"/>
          <w:b/>
          <w:sz w:val="24"/>
          <w:szCs w:val="24"/>
          <w:lang w:val="en-GB"/>
        </w:rPr>
        <w:tab/>
      </w:r>
      <w:r>
        <w:rPr>
          <w:rFonts w:ascii="Arial" w:hAnsi="Arial" w:cs="Arial"/>
          <w:b/>
          <w:sz w:val="24"/>
          <w:szCs w:val="24"/>
          <w:lang w:val="en-GB"/>
        </w:rPr>
        <w:t>Predilection preference of ticks</w:t>
      </w:r>
    </w:p>
    <w:p w14:paraId="0CC9817A">
      <w:pPr>
        <w:spacing w:line="480" w:lineRule="auto"/>
        <w:jc w:val="both"/>
        <w:rPr>
          <w:rFonts w:ascii="Arial" w:hAnsi="Arial" w:cs="Arial"/>
          <w:sz w:val="24"/>
          <w:szCs w:val="24"/>
          <w:lang w:val="en-GB"/>
        </w:rPr>
      </w:pPr>
      <w:r>
        <w:rPr>
          <w:rFonts w:ascii="Arial" w:hAnsi="Arial" w:cs="Arial"/>
          <w:sz w:val="24"/>
          <w:szCs w:val="24"/>
        </w:rPr>
        <w:t>The FAMD accounted for 4</w:t>
      </w:r>
      <w:r>
        <w:rPr>
          <w:rFonts w:hint="default" w:ascii="Arial" w:hAnsi="Arial" w:cs="Arial"/>
          <w:sz w:val="24"/>
          <w:szCs w:val="24"/>
          <w:lang w:val="en-US"/>
        </w:rPr>
        <w:t>7</w:t>
      </w:r>
      <w:r>
        <w:rPr>
          <w:rFonts w:ascii="Arial" w:hAnsi="Arial" w:cs="Arial"/>
          <w:sz w:val="24"/>
          <w:szCs w:val="24"/>
        </w:rPr>
        <w:t>.</w:t>
      </w:r>
      <w:r>
        <w:rPr>
          <w:rFonts w:hint="default" w:ascii="Arial" w:hAnsi="Arial" w:cs="Arial"/>
          <w:sz w:val="24"/>
          <w:szCs w:val="24"/>
          <w:lang w:val="en-US"/>
        </w:rPr>
        <w:t>68</w:t>
      </w:r>
      <w:r>
        <w:rPr>
          <w:rFonts w:ascii="Arial" w:hAnsi="Arial" w:cs="Arial"/>
          <w:sz w:val="24"/>
          <w:szCs w:val="24"/>
        </w:rPr>
        <w:t>% of the variance in the tick data across two dimensions (</w:t>
      </w:r>
      <w:r>
        <w:rPr>
          <w:rFonts w:hint="default" w:ascii="Arial" w:hAnsi="Arial" w:cs="Arial"/>
          <w:sz w:val="24"/>
          <w:szCs w:val="24"/>
          <w:lang w:val="en-US"/>
        </w:rPr>
        <w:t>26.16</w:t>
      </w:r>
      <w:r>
        <w:rPr>
          <w:rFonts w:ascii="Arial" w:hAnsi="Arial" w:cs="Arial"/>
          <w:sz w:val="24"/>
          <w:szCs w:val="24"/>
        </w:rPr>
        <w:t>% and 2</w:t>
      </w:r>
      <w:r>
        <w:rPr>
          <w:rFonts w:hint="default" w:ascii="Arial" w:hAnsi="Arial" w:cs="Arial"/>
          <w:sz w:val="24"/>
          <w:szCs w:val="24"/>
          <w:lang w:val="en-US"/>
        </w:rPr>
        <w:t>1.52</w:t>
      </w:r>
      <w:r>
        <w:rPr>
          <w:rFonts w:ascii="Arial" w:hAnsi="Arial" w:cs="Arial"/>
          <w:sz w:val="24"/>
          <w:szCs w:val="24"/>
        </w:rPr>
        <w:t>% explained by the first and second dimensions, respectively; Fig. 11). The analysis revealed notable differences in qualitative variables, including tick life stages, predilection areas, and sex. While no species-specific preferences for predilection areas were observed, distinct differences in tick species composition were evident between adult and nymph stages, as shown by their high disparity. Additionally, the neck, belly, and legs of the cattle appeared qualitatively more similar.</w:t>
      </w:r>
    </w:p>
    <w:p w14:paraId="246E9396">
      <w:pPr>
        <w:pStyle w:val="14"/>
        <w:keepNext w:val="0"/>
        <w:keepLines w:val="0"/>
        <w:widowControl/>
        <w:suppressLineNumbers w:val="0"/>
        <w:rPr>
          <w:rFonts w:hint="default"/>
          <w:lang w:val="en-US"/>
        </w:rPr>
      </w:pPr>
      <w:r>
        <w:rPr>
          <w:rFonts w:hint="default"/>
          <w:lang w:val="en-US"/>
        </w:rPr>
        <w:drawing>
          <wp:inline distT="0" distB="0" distL="114300" distR="114300">
            <wp:extent cx="5943600" cy="4457700"/>
            <wp:effectExtent l="0" t="0" r="0" b="7620"/>
            <wp:docPr id="7" name="Picture 7" descr="famd_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amd_plot"/>
                    <pic:cNvPicPr>
                      <a:picLocks noChangeAspect="1"/>
                    </pic:cNvPicPr>
                  </pic:nvPicPr>
                  <pic:blipFill>
                    <a:blip r:embed="rId17"/>
                    <a:stretch>
                      <a:fillRect/>
                    </a:stretch>
                  </pic:blipFill>
                  <pic:spPr>
                    <a:xfrm>
                      <a:off x="0" y="0"/>
                      <a:ext cx="5943600" cy="4457700"/>
                    </a:xfrm>
                    <a:prstGeom prst="rect">
                      <a:avLst/>
                    </a:prstGeom>
                  </pic:spPr>
                </pic:pic>
              </a:graphicData>
            </a:graphic>
          </wp:inline>
        </w:drawing>
      </w:r>
    </w:p>
    <w:p w14:paraId="2978EDDA">
      <w:pPr>
        <w:spacing w:line="480" w:lineRule="auto"/>
        <w:jc w:val="both"/>
        <w:rPr>
          <w:rFonts w:ascii="Arial" w:hAnsi="Arial" w:cs="Arial"/>
          <w:sz w:val="24"/>
          <w:szCs w:val="24"/>
          <w:lang w:val="en-GB"/>
        </w:rPr>
      </w:pPr>
    </w:p>
    <w:p w14:paraId="65439C52">
      <w:pPr>
        <w:spacing w:line="480" w:lineRule="auto"/>
        <w:jc w:val="both"/>
        <w:rPr>
          <w:rFonts w:ascii="Arial" w:hAnsi="Arial" w:cs="Arial"/>
          <w:i/>
          <w:sz w:val="24"/>
          <w:szCs w:val="24"/>
          <w:lang w:val="en-GB"/>
        </w:rPr>
      </w:pPr>
      <w:r>
        <w:rPr>
          <w:rFonts w:ascii="Arial" w:hAnsi="Arial" w:cs="Arial"/>
          <w:b/>
          <w:sz w:val="24"/>
          <w:szCs w:val="24"/>
          <w:lang w:val="en-GB"/>
        </w:rPr>
        <w:t>Fig. 11</w:t>
      </w:r>
      <w:r>
        <w:rPr>
          <w:rFonts w:ascii="Arial" w:hAnsi="Arial" w:cs="Arial"/>
          <w:b/>
          <w:i/>
          <w:sz w:val="24"/>
          <w:szCs w:val="24"/>
          <w:lang w:val="en-GB"/>
        </w:rPr>
        <w:t xml:space="preserve"> </w:t>
      </w:r>
      <w:r>
        <w:rPr>
          <w:rFonts w:ascii="Arial" w:hAnsi="Arial" w:cs="Arial"/>
          <w:sz w:val="24"/>
          <w:szCs w:val="24"/>
          <w:lang w:val="en-GB"/>
        </w:rPr>
        <w:t>Factorial design of predilection site, life stage and species of ticks in the cattle market.</w:t>
      </w:r>
      <w:r>
        <w:rPr>
          <w:rFonts w:ascii="Arial" w:hAnsi="Arial" w:cs="Arial"/>
          <w:i/>
          <w:sz w:val="24"/>
          <w:szCs w:val="24"/>
          <w:lang w:val="en-GB"/>
        </w:rPr>
        <w:t xml:space="preserve"> </w:t>
      </w:r>
      <w:r>
        <w:rPr>
          <w:rFonts w:ascii="Arial" w:hAnsi="Arial" w:cs="Arial"/>
          <w:i w:val="0"/>
          <w:iCs/>
          <w:sz w:val="24"/>
          <w:szCs w:val="24"/>
          <w:lang w:val="en-GB"/>
        </w:rPr>
        <w:t>A.va</w:t>
      </w:r>
      <w:r>
        <w:rPr>
          <w:rFonts w:ascii="Arial" w:hAnsi="Arial" w:cs="Arial"/>
          <w:i/>
          <w:sz w:val="24"/>
          <w:szCs w:val="24"/>
          <w:lang w:val="en-GB"/>
        </w:rPr>
        <w:t xml:space="preserve">, A.  variegatum; </w:t>
      </w:r>
      <w:r>
        <w:rPr>
          <w:rFonts w:ascii="Arial" w:hAnsi="Arial" w:cs="Arial"/>
          <w:i w:val="0"/>
          <w:iCs/>
          <w:sz w:val="24"/>
          <w:szCs w:val="24"/>
          <w:lang w:val="en-GB"/>
        </w:rPr>
        <w:t>A.co</w:t>
      </w:r>
      <w:r>
        <w:rPr>
          <w:rFonts w:ascii="Arial" w:hAnsi="Arial" w:cs="Arial"/>
          <w:i/>
          <w:sz w:val="24"/>
          <w:szCs w:val="24"/>
          <w:lang w:val="en-GB"/>
        </w:rPr>
        <w:t xml:space="preserve">, A. </w:t>
      </w:r>
      <w:r>
        <w:rPr>
          <w:rFonts w:hint="default" w:ascii="Arial" w:hAnsi="Arial"/>
          <w:i/>
          <w:sz w:val="24"/>
          <w:szCs w:val="24"/>
          <w:lang w:val="en-GB"/>
        </w:rPr>
        <w:t>cohaerens</w:t>
      </w:r>
      <w:r>
        <w:rPr>
          <w:rFonts w:ascii="Arial" w:hAnsi="Arial" w:cs="Arial"/>
          <w:i/>
          <w:sz w:val="24"/>
          <w:szCs w:val="24"/>
          <w:lang w:val="en-GB"/>
        </w:rPr>
        <w:t xml:space="preserve">; </w:t>
      </w:r>
      <w:r>
        <w:rPr>
          <w:rFonts w:hint="default" w:ascii="Arial" w:hAnsi="Arial" w:cs="Arial"/>
          <w:i w:val="0"/>
          <w:iCs/>
          <w:sz w:val="24"/>
          <w:szCs w:val="24"/>
          <w:lang w:val="en-US"/>
        </w:rPr>
        <w:t>R</w:t>
      </w:r>
      <w:r>
        <w:rPr>
          <w:rFonts w:ascii="Arial" w:hAnsi="Arial" w:cs="Arial"/>
          <w:i w:val="0"/>
          <w:iCs/>
          <w:sz w:val="24"/>
          <w:szCs w:val="24"/>
          <w:lang w:val="en-GB"/>
        </w:rPr>
        <w:t>.an</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annulatus; </w:t>
      </w:r>
      <w:r>
        <w:rPr>
          <w:rFonts w:ascii="Arial" w:hAnsi="Arial" w:cs="Arial"/>
          <w:i w:val="0"/>
          <w:iCs/>
          <w:sz w:val="24"/>
          <w:szCs w:val="24"/>
          <w:lang w:val="en-GB"/>
        </w:rPr>
        <w:t>B.de</w:t>
      </w:r>
      <w:r>
        <w:rPr>
          <w:rFonts w:ascii="Arial" w:hAnsi="Arial" w:cs="Arial"/>
          <w:i/>
          <w:sz w:val="24"/>
          <w:szCs w:val="24"/>
          <w:lang w:val="en-GB"/>
        </w:rPr>
        <w:t xml:space="preserve">, B. decoloratus; </w:t>
      </w:r>
      <w:r>
        <w:rPr>
          <w:rFonts w:hint="default" w:ascii="Arial" w:hAnsi="Arial" w:cs="Arial"/>
          <w:i w:val="0"/>
          <w:iCs/>
          <w:sz w:val="24"/>
          <w:szCs w:val="24"/>
          <w:lang w:val="en-US"/>
        </w:rPr>
        <w:t>R</w:t>
      </w:r>
      <w:r>
        <w:rPr>
          <w:rFonts w:ascii="Arial" w:hAnsi="Arial" w:cs="Arial"/>
          <w:i w:val="0"/>
          <w:iCs/>
          <w:sz w:val="24"/>
          <w:szCs w:val="24"/>
          <w:lang w:val="en-GB"/>
        </w:rPr>
        <w:t>. ge</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geigyi; </w:t>
      </w:r>
      <w:r>
        <w:rPr>
          <w:rFonts w:ascii="Arial" w:hAnsi="Arial" w:cs="Arial"/>
          <w:i w:val="0"/>
          <w:iCs/>
          <w:sz w:val="24"/>
          <w:szCs w:val="24"/>
          <w:lang w:val="en-GB"/>
        </w:rPr>
        <w:t>H.l</w:t>
      </w:r>
      <w:r>
        <w:rPr>
          <w:rFonts w:hint="default" w:ascii="Arial" w:hAnsi="Arial" w:cs="Arial"/>
          <w:i w:val="0"/>
          <w:iCs/>
          <w:sz w:val="24"/>
          <w:szCs w:val="24"/>
          <w:lang w:val="en-US"/>
        </w:rPr>
        <w:t>e</w:t>
      </w:r>
      <w:r>
        <w:rPr>
          <w:rFonts w:ascii="Arial" w:hAnsi="Arial" w:cs="Arial"/>
          <w:i/>
          <w:sz w:val="24"/>
          <w:szCs w:val="24"/>
          <w:lang w:val="en-GB"/>
        </w:rPr>
        <w:t>, H. l</w:t>
      </w:r>
      <w:r>
        <w:rPr>
          <w:rFonts w:hint="default" w:ascii="Arial" w:hAnsi="Arial" w:cs="Arial"/>
          <w:i/>
          <w:sz w:val="24"/>
          <w:szCs w:val="24"/>
          <w:lang w:val="en-US"/>
        </w:rPr>
        <w:t>ea</w:t>
      </w:r>
      <w:r>
        <w:rPr>
          <w:rFonts w:ascii="Arial" w:hAnsi="Arial" w:cs="Arial"/>
          <w:i/>
          <w:sz w:val="24"/>
          <w:szCs w:val="24"/>
          <w:lang w:val="en-GB"/>
        </w:rPr>
        <w:t xml:space="preserve">chi; </w:t>
      </w:r>
      <w:r>
        <w:rPr>
          <w:rFonts w:ascii="Arial" w:hAnsi="Arial" w:cs="Arial"/>
          <w:i w:val="0"/>
          <w:iCs/>
          <w:sz w:val="24"/>
          <w:szCs w:val="24"/>
          <w:lang w:val="en-GB"/>
        </w:rPr>
        <w:t>R.gu</w:t>
      </w:r>
      <w:r>
        <w:rPr>
          <w:rFonts w:ascii="Arial" w:hAnsi="Arial" w:cs="Arial"/>
          <w:i/>
          <w:sz w:val="24"/>
          <w:szCs w:val="24"/>
          <w:lang w:val="en-GB"/>
        </w:rPr>
        <w:t xml:space="preserve">, R. gulhoni; </w:t>
      </w:r>
      <w:r>
        <w:rPr>
          <w:rFonts w:ascii="Arial" w:hAnsi="Arial" w:cs="Arial"/>
          <w:i w:val="0"/>
          <w:iCs/>
          <w:sz w:val="24"/>
          <w:szCs w:val="24"/>
          <w:lang w:val="en-GB"/>
        </w:rPr>
        <w:t>R.lu,</w:t>
      </w:r>
      <w:r>
        <w:rPr>
          <w:rFonts w:ascii="Arial" w:hAnsi="Arial" w:cs="Arial"/>
          <w:i/>
          <w:sz w:val="24"/>
          <w:szCs w:val="24"/>
          <w:lang w:val="en-GB"/>
        </w:rPr>
        <w:t xml:space="preserve"> R. lunulatus; </w:t>
      </w:r>
      <w:r>
        <w:rPr>
          <w:rFonts w:ascii="Arial" w:hAnsi="Arial" w:cs="Arial"/>
          <w:i w:val="0"/>
          <w:iCs/>
          <w:sz w:val="24"/>
          <w:szCs w:val="24"/>
          <w:lang w:val="en-GB"/>
        </w:rPr>
        <w:t>R.mu</w:t>
      </w:r>
      <w:r>
        <w:rPr>
          <w:rFonts w:ascii="Arial" w:hAnsi="Arial" w:cs="Arial"/>
          <w:i/>
          <w:sz w:val="24"/>
          <w:szCs w:val="24"/>
          <w:lang w:val="en-GB"/>
        </w:rPr>
        <w:t xml:space="preserve">, R. muhsame; </w:t>
      </w:r>
      <w:r>
        <w:rPr>
          <w:rFonts w:ascii="Arial" w:hAnsi="Arial" w:cs="Arial"/>
          <w:i w:val="0"/>
          <w:iCs/>
          <w:sz w:val="24"/>
          <w:szCs w:val="24"/>
          <w:lang w:val="en-GB"/>
        </w:rPr>
        <w:t>R.sa</w:t>
      </w:r>
      <w:r>
        <w:rPr>
          <w:rFonts w:ascii="Arial" w:hAnsi="Arial" w:cs="Arial"/>
          <w:i/>
          <w:sz w:val="24"/>
          <w:szCs w:val="24"/>
          <w:lang w:val="en-GB"/>
        </w:rPr>
        <w:t xml:space="preserve">, R. sanguineus; </w:t>
      </w:r>
      <w:r>
        <w:rPr>
          <w:rFonts w:ascii="Arial" w:hAnsi="Arial" w:cs="Arial"/>
          <w:i w:val="0"/>
          <w:iCs/>
          <w:sz w:val="24"/>
          <w:szCs w:val="24"/>
          <w:lang w:val="en-GB"/>
        </w:rPr>
        <w:t>R.se,</w:t>
      </w:r>
      <w:r>
        <w:rPr>
          <w:rFonts w:ascii="Arial" w:hAnsi="Arial" w:cs="Arial"/>
          <w:i/>
          <w:sz w:val="24"/>
          <w:szCs w:val="24"/>
          <w:lang w:val="en-GB"/>
        </w:rPr>
        <w:t xml:space="preserve"> R. senegalensis; </w:t>
      </w:r>
      <w:r>
        <w:rPr>
          <w:rFonts w:hint="default" w:ascii="Arial" w:hAnsi="Arial" w:cs="Arial"/>
          <w:i w:val="0"/>
          <w:iCs/>
          <w:sz w:val="24"/>
          <w:szCs w:val="24"/>
          <w:lang w:val="en-US"/>
        </w:rPr>
        <w:t>R</w:t>
      </w:r>
      <w:r>
        <w:rPr>
          <w:rFonts w:ascii="Arial" w:hAnsi="Arial" w:cs="Arial"/>
          <w:i w:val="0"/>
          <w:iCs/>
          <w:sz w:val="24"/>
          <w:szCs w:val="24"/>
          <w:lang w:val="en-GB"/>
        </w:rPr>
        <w:t>.sp</w:t>
      </w:r>
      <w:r>
        <w:rPr>
          <w:rFonts w:ascii="Arial" w:hAnsi="Arial" w:cs="Arial"/>
          <w:i/>
          <w:sz w:val="24"/>
          <w:szCs w:val="24"/>
          <w:lang w:val="en-GB"/>
        </w:rPr>
        <w:t xml:space="preserve">, </w:t>
      </w:r>
      <w:r>
        <w:rPr>
          <w:rFonts w:hint="default" w:ascii="Arial" w:hAnsi="Arial"/>
          <w:i/>
          <w:sz w:val="24"/>
          <w:szCs w:val="24"/>
          <w:lang w:val="en-US"/>
        </w:rPr>
        <w:t>Rhipicephalus</w:t>
      </w:r>
      <w:r>
        <w:rPr>
          <w:rFonts w:ascii="Arial" w:hAnsi="Arial" w:cs="Arial"/>
          <w:i/>
          <w:sz w:val="24"/>
          <w:szCs w:val="24"/>
          <w:lang w:val="en-GB"/>
        </w:rPr>
        <w:t xml:space="preserve"> species;  </w:t>
      </w:r>
      <w:r>
        <w:rPr>
          <w:rFonts w:hint="default" w:ascii="Arial" w:hAnsi="Arial" w:cs="Arial"/>
          <w:i w:val="0"/>
          <w:iCs/>
          <w:sz w:val="24"/>
          <w:szCs w:val="24"/>
          <w:lang w:val="en-US"/>
        </w:rPr>
        <w:t>A</w:t>
      </w:r>
      <w:r>
        <w:rPr>
          <w:rFonts w:ascii="Arial" w:hAnsi="Arial" w:cs="Arial"/>
          <w:i w:val="0"/>
          <w:iCs/>
          <w:sz w:val="24"/>
          <w:szCs w:val="24"/>
          <w:lang w:val="en-GB"/>
        </w:rPr>
        <w:t>.ge,</w:t>
      </w:r>
      <w:r>
        <w:rPr>
          <w:rFonts w:ascii="Arial" w:hAnsi="Arial" w:cs="Arial"/>
          <w:i/>
          <w:sz w:val="24"/>
          <w:szCs w:val="24"/>
          <w:lang w:val="en-GB"/>
        </w:rPr>
        <w:t xml:space="preserve"> </w:t>
      </w:r>
      <w:r>
        <w:rPr>
          <w:rFonts w:hint="default" w:ascii="Arial" w:hAnsi="Arial" w:cs="Arial"/>
          <w:i/>
          <w:sz w:val="24"/>
          <w:szCs w:val="24"/>
          <w:lang w:val="en-US"/>
        </w:rPr>
        <w:t>A</w:t>
      </w:r>
      <w:r>
        <w:rPr>
          <w:rFonts w:ascii="Arial" w:hAnsi="Arial" w:cs="Arial"/>
          <w:i/>
          <w:sz w:val="24"/>
          <w:szCs w:val="24"/>
          <w:lang w:val="en-GB"/>
        </w:rPr>
        <w:t>. gemma</w:t>
      </w:r>
      <w:r>
        <w:rPr>
          <w:rFonts w:hint="default" w:ascii="Arial" w:hAnsi="Arial" w:cs="Arial"/>
          <w:i/>
          <w:sz w:val="24"/>
          <w:szCs w:val="24"/>
          <w:lang w:val="en-US"/>
        </w:rPr>
        <w:t>.</w:t>
      </w:r>
      <w:r>
        <w:rPr>
          <w:rFonts w:ascii="Arial" w:hAnsi="Arial" w:cs="Arial"/>
          <w:i/>
          <w:sz w:val="24"/>
          <w:szCs w:val="24"/>
          <w:lang w:val="en-GB"/>
        </w:rPr>
        <w:t xml:space="preserve"> </w:t>
      </w:r>
      <w:r>
        <w:rPr>
          <w:rFonts w:hint="default" w:ascii="Arial" w:hAnsi="Arial" w:cs="Arial"/>
          <w:i/>
          <w:sz w:val="24"/>
          <w:szCs w:val="24"/>
          <w:lang w:val="en-US"/>
        </w:rPr>
        <w:t xml:space="preserve"> </w:t>
      </w:r>
    </w:p>
    <w:p w14:paraId="6DD0E08F">
      <w:pPr>
        <w:pStyle w:val="2"/>
        <w:numPr>
          <w:ilvl w:val="0"/>
          <w:numId w:val="1"/>
        </w:numPr>
        <w:rPr>
          <w:rFonts w:ascii="Arial" w:hAnsi="Arial" w:cs="Arial"/>
          <w:sz w:val="24"/>
          <w:lang w:val="en-GB"/>
        </w:rPr>
      </w:pPr>
      <w:r>
        <w:rPr>
          <w:rFonts w:ascii="Arial" w:hAnsi="Arial" w:cs="Arial"/>
          <w:sz w:val="24"/>
          <w:lang w:val="en-GB"/>
        </w:rPr>
        <w:t xml:space="preserve">    DISCUSSION</w:t>
      </w:r>
    </w:p>
    <w:p w14:paraId="2059EA93">
      <w:pPr>
        <w:spacing w:line="480" w:lineRule="auto"/>
        <w:jc w:val="both"/>
        <w:rPr>
          <w:rFonts w:ascii="Arial" w:hAnsi="Arial" w:cs="Arial"/>
          <w:sz w:val="24"/>
          <w:szCs w:val="24"/>
          <w:lang w:val="en-GB"/>
        </w:rPr>
      </w:pPr>
      <w:r>
        <w:rPr>
          <w:rFonts w:ascii="Arial" w:hAnsi="Arial" w:cs="Arial"/>
          <w:sz w:val="24"/>
          <w:szCs w:val="24"/>
        </w:rPr>
        <w:t>This study investigated the prevalence of ticks at predilection sites of cattle by sampling ticks from six predilection areas of 95 cattle in a major trade market in Edo State, Nigeria. The survey revealed that 78.95% of cattle were infected with at least one tick species—a significantly higher prevalence compared to a previous report from the state (21.5%; [22]). To the best of our knowledge, this study recorded the highest diversity of ticks from a single cattle market in Nigeria, with an observed species richness of 1</w:t>
      </w:r>
      <w:r>
        <w:rPr>
          <w:rFonts w:hint="default" w:ascii="Arial" w:hAnsi="Arial" w:cs="Arial"/>
          <w:sz w:val="24"/>
          <w:szCs w:val="24"/>
          <w:lang w:val="en-US"/>
        </w:rPr>
        <w:t>3</w:t>
      </w:r>
      <w:r>
        <w:rPr>
          <w:rFonts w:ascii="Arial" w:hAnsi="Arial" w:cs="Arial"/>
          <w:sz w:val="24"/>
          <w:szCs w:val="24"/>
        </w:rPr>
        <w:t xml:space="preserve">. </w:t>
      </w:r>
      <w:r>
        <w:rPr>
          <w:rFonts w:hint="default" w:ascii="Arial" w:hAnsi="Arial" w:cs="Arial"/>
          <w:sz w:val="24"/>
          <w:szCs w:val="24"/>
          <w:lang w:val="en-US"/>
        </w:rPr>
        <w:t>J</w:t>
      </w:r>
      <w:r>
        <w:rPr>
          <w:rFonts w:ascii="Arial" w:hAnsi="Arial" w:cs="Arial"/>
          <w:sz w:val="24"/>
          <w:szCs w:val="24"/>
        </w:rPr>
        <w:t>ackknife 2 estimates suggest that while a substantial number of tick species were identified, additional sampling could reveal even more species in the cattle market.</w:t>
      </w:r>
    </w:p>
    <w:p w14:paraId="01F5C50A">
      <w:pPr>
        <w:spacing w:line="480" w:lineRule="auto"/>
        <w:jc w:val="both"/>
        <w:rPr>
          <w:rFonts w:ascii="Arial" w:hAnsi="Arial" w:cs="Arial"/>
          <w:color w:val="FF0000"/>
          <w:sz w:val="24"/>
          <w:szCs w:val="24"/>
          <w:lang w:val="en-GB"/>
        </w:rPr>
      </w:pPr>
      <w:r>
        <w:rPr>
          <w:rFonts w:ascii="Arial" w:hAnsi="Arial" w:cs="Arial"/>
          <w:sz w:val="24"/>
          <w:szCs w:val="24"/>
        </w:rPr>
        <w:t>Significant changes in tick species have been observed since previous studies [22]. Our study identified 1</w:t>
      </w:r>
      <w:r>
        <w:rPr>
          <w:rFonts w:hint="default" w:ascii="Arial" w:hAnsi="Arial" w:cs="Arial"/>
          <w:sz w:val="24"/>
          <w:szCs w:val="24"/>
          <w:lang w:val="en-US"/>
        </w:rPr>
        <w:t>3</w:t>
      </w:r>
      <w:r>
        <w:rPr>
          <w:rFonts w:ascii="Arial" w:hAnsi="Arial" w:cs="Arial"/>
          <w:sz w:val="24"/>
          <w:szCs w:val="24"/>
        </w:rPr>
        <w:t xml:space="preserve"> tick species in total, with a median of three species per host, far exceeding the three species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Rhipicephalus sp.</w:t>
      </w:r>
      <w:r>
        <w:rPr>
          <w:rFonts w:ascii="Arial" w:hAnsi="Arial" w:cs="Arial"/>
          <w:sz w:val="24"/>
          <w:szCs w:val="24"/>
        </w:rPr>
        <w:t xml:space="preserve">, and </w:t>
      </w:r>
      <w:r>
        <w:rPr>
          <w:rFonts w:ascii="Arial" w:hAnsi="Arial" w:cs="Arial"/>
          <w:i/>
          <w:iCs/>
          <w:sz w:val="24"/>
          <w:szCs w:val="24"/>
        </w:rPr>
        <w:t>R. microplus</w:t>
      </w:r>
      <w:r>
        <w:rPr>
          <w:rFonts w:ascii="Arial" w:hAnsi="Arial" w:cs="Arial"/>
          <w:sz w:val="24"/>
          <w:szCs w:val="24"/>
        </w:rPr>
        <w:t xml:space="preserve">) reported in 209 out of 258 cattle [22].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xml:space="preserve"> were the most abundant species in our study, constituting 42.38%, 29.38%, and 20.93% of the total ticks, respectively. Notably, the invasive </w:t>
      </w:r>
      <w:r>
        <w:rPr>
          <w:rFonts w:ascii="Arial" w:hAnsi="Arial" w:cs="Arial"/>
          <w:i/>
          <w:iCs/>
          <w:sz w:val="24"/>
          <w:szCs w:val="24"/>
        </w:rPr>
        <w:t>R. microplus</w:t>
      </w:r>
      <w:r>
        <w:rPr>
          <w:rFonts w:ascii="Arial" w:hAnsi="Arial" w:cs="Arial"/>
          <w:sz w:val="24"/>
          <w:szCs w:val="24"/>
        </w:rPr>
        <w:t xml:space="preserve">, which had a 21.5% prevalence in the 2019 survey [22], was absent. Similarly, a study in Maiduguri, Northern Nigeria, documented a different tick composition, including </w:t>
      </w:r>
      <w:r>
        <w:rPr>
          <w:rFonts w:hint="default" w:ascii="Arial" w:hAnsi="Arial" w:cs="Arial"/>
          <w:i/>
          <w:iCs/>
          <w:sz w:val="24"/>
          <w:szCs w:val="24"/>
          <w:lang w:val="en-US"/>
        </w:rPr>
        <w:t>R</w:t>
      </w:r>
      <w:r>
        <w:rPr>
          <w:rFonts w:ascii="Arial" w:hAnsi="Arial" w:cs="Arial"/>
          <w:i/>
          <w:iCs/>
          <w:sz w:val="24"/>
          <w:szCs w:val="24"/>
        </w:rPr>
        <w:t>. microplus</w:t>
      </w:r>
      <w:r>
        <w:rPr>
          <w:rFonts w:ascii="Arial" w:hAnsi="Arial" w:cs="Arial"/>
          <w:sz w:val="24"/>
          <w:szCs w:val="24"/>
        </w:rPr>
        <w:t xml:space="preserve">,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Hyalomma spp.</w:t>
      </w:r>
      <w:r>
        <w:rPr>
          <w:rFonts w:ascii="Arial" w:hAnsi="Arial" w:cs="Arial"/>
          <w:sz w:val="24"/>
          <w:szCs w:val="24"/>
        </w:rPr>
        <w:t xml:space="preserve">, </w:t>
      </w:r>
      <w:r>
        <w:rPr>
          <w:rFonts w:ascii="Arial" w:hAnsi="Arial" w:cs="Arial"/>
          <w:i/>
          <w:iCs/>
          <w:sz w:val="24"/>
          <w:szCs w:val="24"/>
        </w:rPr>
        <w:t>Rh. sanguineus</w:t>
      </w:r>
      <w:r>
        <w:rPr>
          <w:rFonts w:ascii="Arial" w:hAnsi="Arial" w:cs="Arial"/>
          <w:sz w:val="24"/>
          <w:szCs w:val="24"/>
        </w:rPr>
        <w:t xml:space="preserve">, and </w:t>
      </w:r>
      <w:r>
        <w:rPr>
          <w:rFonts w:ascii="Arial" w:hAnsi="Arial" w:cs="Arial"/>
          <w:i/>
          <w:iCs/>
          <w:sz w:val="24"/>
          <w:szCs w:val="24"/>
        </w:rPr>
        <w:t>Ornithodorus spp.</w:t>
      </w:r>
      <w:r>
        <w:rPr>
          <w:rFonts w:ascii="Arial" w:hAnsi="Arial" w:cs="Arial"/>
          <w:sz w:val="24"/>
          <w:szCs w:val="24"/>
        </w:rPr>
        <w:t xml:space="preserve"> [33].</w:t>
      </w:r>
    </w:p>
    <w:p w14:paraId="4C94B60F">
      <w:pPr>
        <w:spacing w:line="480" w:lineRule="auto"/>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 xml:space="preserve">Most of the species of ticks that are highly prevalent in our survey are known to transmit multiple tick-borne diseases (TBDs). For example, </w:t>
      </w:r>
      <w:r>
        <w:rPr>
          <w:rFonts w:hint="default" w:ascii="Arial" w:hAnsi="Arial" w:eastAsia="Times New Roman" w:cs="Arial"/>
          <w:i/>
          <w:color w:val="000000"/>
          <w:sz w:val="24"/>
          <w:szCs w:val="24"/>
          <w:lang w:val="en-US"/>
        </w:rPr>
        <w:t>R.</w:t>
      </w:r>
      <w:r>
        <w:rPr>
          <w:rFonts w:ascii="Arial" w:hAnsi="Arial" w:eastAsia="Times New Roman" w:cs="Arial"/>
          <w:color w:val="000000"/>
          <w:sz w:val="24"/>
          <w:szCs w:val="24"/>
          <w:lang w:val="en-GB"/>
        </w:rPr>
        <w:t xml:space="preserve"> </w:t>
      </w:r>
      <w:r>
        <w:rPr>
          <w:rFonts w:ascii="Arial" w:hAnsi="Arial" w:eastAsia="Times New Roman" w:cs="Arial"/>
          <w:i/>
          <w:color w:val="000000"/>
          <w:sz w:val="24"/>
          <w:szCs w:val="24"/>
          <w:lang w:val="en-GB"/>
        </w:rPr>
        <w:t>decoloratus</w:t>
      </w:r>
      <w:r>
        <w:rPr>
          <w:rFonts w:ascii="Arial" w:hAnsi="Arial" w:eastAsia="Times New Roman" w:cs="Arial"/>
          <w:color w:val="000000"/>
          <w:sz w:val="24"/>
          <w:szCs w:val="24"/>
          <w:lang w:val="en-GB"/>
        </w:rPr>
        <w:t xml:space="preserve">, a common tick species in Africa, is an important vector of several tick-borne livestock diseases. It transmits </w:t>
      </w:r>
      <w:r>
        <w:rPr>
          <w:rFonts w:ascii="Arial" w:hAnsi="Arial" w:eastAsia="Times New Roman" w:cs="Arial"/>
          <w:i/>
          <w:color w:val="000000"/>
          <w:sz w:val="24"/>
          <w:szCs w:val="24"/>
          <w:lang w:val="en-GB"/>
        </w:rPr>
        <w:t>Babesia bigemina</w:t>
      </w:r>
      <w:r>
        <w:rPr>
          <w:rFonts w:ascii="Arial" w:hAnsi="Arial" w:eastAsia="Times New Roman" w:cs="Arial"/>
          <w:color w:val="000000"/>
          <w:sz w:val="24"/>
          <w:szCs w:val="24"/>
          <w:lang w:val="en-GB"/>
        </w:rPr>
        <w:t xml:space="preserve"> and </w:t>
      </w:r>
      <w:r>
        <w:rPr>
          <w:rFonts w:ascii="Arial" w:hAnsi="Arial" w:eastAsia="Times New Roman" w:cs="Arial"/>
          <w:i/>
          <w:color w:val="000000"/>
          <w:sz w:val="24"/>
          <w:szCs w:val="24"/>
          <w:lang w:val="en-GB"/>
        </w:rPr>
        <w:t>Anaplasma marginale</w:t>
      </w:r>
      <w:r>
        <w:rPr>
          <w:rFonts w:ascii="Arial" w:hAnsi="Arial" w:eastAsia="Times New Roman" w:cs="Arial"/>
          <w:color w:val="000000"/>
          <w:sz w:val="24"/>
          <w:szCs w:val="24"/>
          <w:lang w:val="en-GB"/>
        </w:rPr>
        <w:t xml:space="preserve"> to cattle, causing babesiosis and anaplasmosis respectively [34]. Additionally,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annulatus</w:t>
      </w:r>
      <w:r>
        <w:rPr>
          <w:rFonts w:ascii="Arial" w:hAnsi="Arial" w:eastAsia="Times New Roman" w:cs="Arial"/>
          <w:color w:val="000000"/>
          <w:sz w:val="24"/>
          <w:szCs w:val="24"/>
          <w:lang w:val="en-GB"/>
        </w:rPr>
        <w:t xml:space="preserve"> is capable of transmitting </w:t>
      </w:r>
      <w:r>
        <w:rPr>
          <w:rFonts w:ascii="Arial" w:hAnsi="Arial" w:eastAsia="Times New Roman" w:cs="Arial"/>
          <w:i/>
          <w:color w:val="000000"/>
          <w:sz w:val="24"/>
          <w:szCs w:val="24"/>
          <w:lang w:val="en-GB"/>
        </w:rPr>
        <w:t>An. marginale</w:t>
      </w:r>
      <w:r>
        <w:rPr>
          <w:rFonts w:ascii="Arial" w:hAnsi="Arial" w:eastAsia="Times New Roman" w:cs="Arial"/>
          <w:color w:val="000000"/>
          <w:sz w:val="24"/>
          <w:szCs w:val="24"/>
          <w:lang w:val="en-GB"/>
        </w:rPr>
        <w:t xml:space="preserve"> through transstadial transmission, leading to anaplasmosis [35].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geigyi</w:t>
      </w:r>
      <w:r>
        <w:rPr>
          <w:rFonts w:ascii="Arial" w:hAnsi="Arial" w:eastAsia="Times New Roman" w:cs="Arial"/>
          <w:color w:val="000000"/>
          <w:sz w:val="24"/>
          <w:szCs w:val="24"/>
          <w:lang w:val="en-GB"/>
        </w:rPr>
        <w:t xml:space="preserve"> is recognized for its ability to transmit the protozoan parasite </w:t>
      </w:r>
      <w:r>
        <w:rPr>
          <w:rFonts w:ascii="Arial" w:hAnsi="Arial" w:eastAsia="Times New Roman" w:cs="Arial"/>
          <w:i/>
          <w:color w:val="000000"/>
          <w:sz w:val="24"/>
          <w:szCs w:val="24"/>
          <w:lang w:val="en-GB"/>
        </w:rPr>
        <w:t>Ba. bovis</w:t>
      </w:r>
      <w:r>
        <w:rPr>
          <w:rFonts w:ascii="Arial" w:hAnsi="Arial" w:eastAsia="Times New Roman" w:cs="Arial"/>
          <w:color w:val="000000"/>
          <w:sz w:val="24"/>
          <w:szCs w:val="24"/>
          <w:lang w:val="en-GB"/>
        </w:rPr>
        <w:t xml:space="preserve">, which can be detected in tick eggs, larvae, and hemolymph during various stages of infection [36]. </w:t>
      </w:r>
      <w:r>
        <w:rPr>
          <w:rFonts w:ascii="Arial" w:hAnsi="Arial" w:eastAsia="Times New Roman" w:cs="Arial"/>
          <w:i/>
          <w:color w:val="000000"/>
          <w:sz w:val="24"/>
          <w:szCs w:val="24"/>
          <w:lang w:val="en-GB"/>
        </w:rPr>
        <w:t>B. geigyi</w:t>
      </w:r>
      <w:r>
        <w:rPr>
          <w:rFonts w:ascii="Arial" w:hAnsi="Arial" w:eastAsia="Times New Roman" w:cs="Arial"/>
          <w:color w:val="000000"/>
          <w:sz w:val="24"/>
          <w:szCs w:val="24"/>
          <w:lang w:val="en-GB"/>
        </w:rPr>
        <w:t xml:space="preserve">, has been identified as a carrier of </w:t>
      </w:r>
      <w:r>
        <w:rPr>
          <w:rFonts w:ascii="Arial" w:hAnsi="Arial" w:eastAsia="Times New Roman" w:cs="Arial"/>
          <w:i/>
          <w:color w:val="000000"/>
          <w:sz w:val="24"/>
          <w:szCs w:val="24"/>
          <w:lang w:val="en-GB"/>
        </w:rPr>
        <w:t>Borrelia theileri</w:t>
      </w:r>
      <w:r>
        <w:rPr>
          <w:rFonts w:ascii="Arial" w:hAnsi="Arial" w:eastAsia="Times New Roman" w:cs="Arial"/>
          <w:color w:val="000000"/>
          <w:sz w:val="24"/>
          <w:szCs w:val="24"/>
          <w:lang w:val="en-GB"/>
        </w:rPr>
        <w:t xml:space="preserve">, the agent responsible for bovine borreliosis, in Mali [37]. </w:t>
      </w:r>
    </w:p>
    <w:p w14:paraId="1F5D0B38">
      <w:pPr>
        <w:spacing w:line="480" w:lineRule="auto"/>
        <w:jc w:val="both"/>
        <w:rPr>
          <w:rFonts w:ascii="Arial" w:hAnsi="Arial" w:cs="Arial"/>
          <w:sz w:val="24"/>
          <w:szCs w:val="24"/>
          <w:lang w:val="en-GB"/>
        </w:rPr>
      </w:pPr>
      <w:r>
        <w:rPr>
          <w:rFonts w:ascii="Arial" w:hAnsi="Arial" w:cs="Arial"/>
          <w:sz w:val="24"/>
          <w:szCs w:val="24"/>
        </w:rPr>
        <w:t>The female ticks in our study exhibited greater homogeneity in community structure across all tick-infested cattle, indicating lower diversity compared to males, which showed higher diversity. However, female ticks were more numerous than males in our survey. This suggests that a few tick species dominate the female community structure. Numerous studies have demonstrated that female ticks are typically the primary carriers of TBD, as they feed for longer durations and consume more blood than males, increasing their likelihood of acquiring and transmitting pathogens [9, 10].</w:t>
      </w:r>
      <w:r>
        <w:rPr>
          <w:rFonts w:ascii="Arial" w:hAnsi="Arial" w:cs="Arial"/>
          <w:sz w:val="24"/>
          <w:szCs w:val="24"/>
          <w:lang w:val="en-GB"/>
        </w:rPr>
        <w:t xml:space="preserve"> </w:t>
      </w:r>
    </w:p>
    <w:p w14:paraId="00194019">
      <w:pPr>
        <w:spacing w:line="480" w:lineRule="auto"/>
        <w:jc w:val="both"/>
        <w:rPr>
          <w:rFonts w:ascii="Arial" w:hAnsi="Arial" w:cs="Arial"/>
          <w:sz w:val="24"/>
          <w:szCs w:val="24"/>
          <w:lang w:val="en-GB"/>
        </w:rPr>
      </w:pPr>
      <w:r>
        <w:rPr>
          <w:rFonts w:ascii="Arial" w:hAnsi="Arial" w:cs="Arial"/>
          <w:sz w:val="24"/>
          <w:szCs w:val="24"/>
        </w:rPr>
        <w:t>An increase in the female tick population elevates the risk of disease transmission to both cattle and humans. Female ticks, capable of laying thousands of eggs, contribute to a larger tick population, which raises the likelihood of future infestations and the spread of TBD [10, 38]. Although male ticks are less likely to transmit diseases due to shorter feeding durations, their diverse population, as observed in this study, may indirectly influence the ecological dynamics that enhance female ticks' survival and reproduction.</w:t>
      </w:r>
      <w:r>
        <w:rPr>
          <w:rFonts w:ascii="Arial" w:hAnsi="Arial" w:cs="Arial"/>
          <w:sz w:val="24"/>
          <w:szCs w:val="24"/>
          <w:lang w:val="en-GB"/>
        </w:rPr>
        <w:t xml:space="preserve"> </w:t>
      </w:r>
    </w:p>
    <w:p w14:paraId="5EAFC4FF">
      <w:pPr>
        <w:spacing w:line="480" w:lineRule="auto"/>
        <w:jc w:val="both"/>
        <w:rPr>
          <w:rFonts w:ascii="Arial" w:hAnsi="Arial" w:cs="Arial"/>
          <w:sz w:val="24"/>
          <w:szCs w:val="24"/>
          <w:lang w:val="en-GB"/>
        </w:rPr>
      </w:pPr>
      <w:r>
        <w:rPr>
          <w:rFonts w:ascii="Arial" w:hAnsi="Arial" w:cs="Arial"/>
          <w:sz w:val="24"/>
          <w:szCs w:val="24"/>
        </w:rPr>
        <w:t>This study found that each tick-infested cattle, on average, hosted approximately three distinct tick species. The presence of multiple tick species on a single host highlights the risk of co-infections with tick-borne diseases (TBDs), as different species can transmit various pathogens. Adult ticks, due to their prolonged feeding and larger blood meals compared to nymphs, significantly contribute to disease transmission. Their prevalence on cattle underscores the heightened risk of spreading TBDs to both livestock and potentially humans.</w:t>
      </w:r>
    </w:p>
    <w:p w14:paraId="1857FA8E">
      <w:pPr>
        <w:spacing w:line="480" w:lineRule="auto"/>
        <w:jc w:val="both"/>
        <w:rPr>
          <w:rFonts w:ascii="Arial" w:hAnsi="Arial" w:cs="Arial"/>
          <w:sz w:val="24"/>
          <w:szCs w:val="24"/>
          <w:lang w:val="en-GB"/>
        </w:rPr>
      </w:pPr>
      <w:r>
        <w:rPr>
          <w:rFonts w:ascii="Arial" w:hAnsi="Arial" w:cs="Arial"/>
          <w:sz w:val="24"/>
          <w:szCs w:val="24"/>
        </w:rPr>
        <w:t>The diversity of tick species, measured by the Margalef index, showed no significant variation across the predilection sites on cattle, indicating relatively uniform diversity across the body. This suggests that ticks may not exhibit strong preferences for specific sites, as all predilection sites—head, tail, belly, shoulder, neck and leg—had comparable levels of diversity. Furthermore, this uniformity implies that factors such as cattle movement, environmental exposure, and host immune responses likely play a more substantial role in determining tick attachment and diversity than the physical characteristics of predilection sites. Interestingly, these findings contrast with earlier studies [39], which suggested that certain body areas might be more favorable for tick attachment due to easier access or proximity to blood vessels.</w:t>
      </w:r>
    </w:p>
    <w:p w14:paraId="69749770">
      <w:pPr>
        <w:spacing w:line="480" w:lineRule="auto"/>
        <w:jc w:val="both"/>
        <w:rPr>
          <w:rFonts w:ascii="Arial" w:hAnsi="Arial" w:cs="Arial"/>
          <w:sz w:val="24"/>
          <w:szCs w:val="24"/>
          <w:lang w:val="en-GB"/>
        </w:rPr>
      </w:pPr>
      <w:r>
        <w:rPr>
          <w:rFonts w:ascii="Arial" w:hAnsi="Arial" w:cs="Arial"/>
          <w:sz w:val="24"/>
          <w:szCs w:val="24"/>
          <w:lang w:val="en-GB"/>
        </w:rPr>
        <w:t>A total of 1</w:t>
      </w:r>
      <w:r>
        <w:rPr>
          <w:rFonts w:hint="default" w:ascii="Arial" w:hAnsi="Arial" w:cs="Arial"/>
          <w:sz w:val="24"/>
          <w:szCs w:val="24"/>
          <w:lang w:val="en-US"/>
        </w:rPr>
        <w:t>3</w:t>
      </w:r>
      <w:r>
        <w:rPr>
          <w:rFonts w:ascii="Arial" w:hAnsi="Arial" w:cs="Arial"/>
          <w:sz w:val="24"/>
          <w:szCs w:val="24"/>
          <w:lang w:val="en-GB"/>
        </w:rPr>
        <w:t xml:space="preserve"> tick species were observed, though some were rare. It is likely that further sampling would reveal additional infestations, as supported by SAC</w:t>
      </w:r>
      <w:r>
        <w:rPr>
          <w:rFonts w:hint="default" w:ascii="Arial" w:hAnsi="Arial" w:cs="Arial"/>
          <w:sz w:val="24"/>
          <w:szCs w:val="24"/>
          <w:lang w:val="en-US"/>
        </w:rPr>
        <w:t xml:space="preserve"> and</w:t>
      </w:r>
      <w:r>
        <w:rPr>
          <w:rFonts w:ascii="Arial" w:hAnsi="Arial" w:cs="Arial"/>
          <w:sz w:val="24"/>
          <w:szCs w:val="24"/>
          <w:lang w:val="en-GB"/>
        </w:rPr>
        <w:t xml:space="preserve"> Jackknife 2 estimates. The fact that most cattle trade market outside northern Nigeria receives cattle for sale underscores a significant public health concern. This highlights the urgent need for nationwide tick monitoring. Notably, cattle in Nigeria are predominantly raised by Hausa herdsmen, who are largely without formal education [17,18, 40, 41].</w:t>
      </w:r>
    </w:p>
    <w:p w14:paraId="56D589FD">
      <w:pPr>
        <w:spacing w:line="480" w:lineRule="auto"/>
        <w:jc w:val="both"/>
        <w:rPr>
          <w:rFonts w:ascii="Arial" w:hAnsi="Arial" w:cs="Arial"/>
          <w:sz w:val="24"/>
          <w:szCs w:val="24"/>
          <w:lang w:val="en-GB"/>
        </w:rPr>
      </w:pPr>
      <w:r>
        <w:rPr>
          <w:rFonts w:ascii="Arial" w:hAnsi="Arial" w:cs="Arial"/>
          <w:sz w:val="24"/>
          <w:szCs w:val="24"/>
        </w:rPr>
        <w:t xml:space="preserve">Interestingly, the invasive species </w:t>
      </w:r>
      <w:r>
        <w:rPr>
          <w:rFonts w:ascii="Arial" w:hAnsi="Arial" w:cs="Arial"/>
          <w:i/>
          <w:iCs/>
          <w:sz w:val="24"/>
          <w:szCs w:val="24"/>
        </w:rPr>
        <w:t>Rh. microplus</w:t>
      </w:r>
      <w:r>
        <w:rPr>
          <w:rFonts w:ascii="Arial" w:hAnsi="Arial" w:cs="Arial"/>
          <w:sz w:val="24"/>
          <w:szCs w:val="24"/>
        </w:rPr>
        <w:t xml:space="preserve"> reported by Adane et al. [22] was not detected in our study. Given that the study site is a cattle market receiving cattle from the North and other distant locations, it is likely that this species has already spread across much of Nigeria. Similarly, Lorusso et al. [42] did not detect </w:t>
      </w:r>
      <w:r>
        <w:rPr>
          <w:rFonts w:ascii="Arial" w:hAnsi="Arial" w:cs="Arial"/>
          <w:i/>
          <w:iCs/>
          <w:sz w:val="24"/>
          <w:szCs w:val="24"/>
        </w:rPr>
        <w:t>Rh. microplus</w:t>
      </w:r>
      <w:r>
        <w:rPr>
          <w:rFonts w:ascii="Arial" w:hAnsi="Arial" w:cs="Arial"/>
          <w:sz w:val="24"/>
          <w:szCs w:val="24"/>
        </w:rPr>
        <w:t xml:space="preserve"> in their central Nigeria survey. Our findings align with Lorusso et al. [42], who identified </w:t>
      </w:r>
      <w:r>
        <w:rPr>
          <w:rFonts w:ascii="Arial" w:hAnsi="Arial" w:cs="Arial"/>
          <w:i/>
          <w:iCs/>
          <w:sz w:val="24"/>
          <w:szCs w:val="24"/>
        </w:rPr>
        <w:t>Rh. decoloratus</w:t>
      </w:r>
      <w:r>
        <w:rPr>
          <w:rFonts w:ascii="Arial" w:hAnsi="Arial" w:cs="Arial"/>
          <w:sz w:val="24"/>
          <w:szCs w:val="24"/>
        </w:rPr>
        <w:t xml:space="preserve">, </w:t>
      </w:r>
      <w:r>
        <w:rPr>
          <w:rFonts w:ascii="Arial" w:hAnsi="Arial" w:cs="Arial"/>
          <w:i/>
          <w:iCs/>
          <w:sz w:val="24"/>
          <w:szCs w:val="24"/>
        </w:rPr>
        <w:t>Rh. annulatus</w:t>
      </w:r>
      <w:r>
        <w:rPr>
          <w:rFonts w:ascii="Arial" w:hAnsi="Arial" w:cs="Arial"/>
          <w:sz w:val="24"/>
          <w:szCs w:val="24"/>
        </w:rPr>
        <w:t xml:space="preserve">, </w:t>
      </w:r>
      <w:r>
        <w:rPr>
          <w:rFonts w:ascii="Arial" w:hAnsi="Arial" w:cs="Arial"/>
          <w:i/>
          <w:iCs/>
          <w:sz w:val="24"/>
          <w:szCs w:val="24"/>
        </w:rPr>
        <w:t>Rh. guilhoni</w:t>
      </w:r>
      <w:r>
        <w:rPr>
          <w:rFonts w:ascii="Arial" w:hAnsi="Arial" w:cs="Arial"/>
          <w:sz w:val="24"/>
          <w:szCs w:val="24"/>
        </w:rPr>
        <w:t xml:space="preserve">, and </w:t>
      </w:r>
      <w:r>
        <w:rPr>
          <w:rFonts w:ascii="Arial" w:hAnsi="Arial" w:cs="Arial"/>
          <w:i/>
          <w:iCs/>
          <w:sz w:val="24"/>
          <w:szCs w:val="24"/>
        </w:rPr>
        <w:t>Rh. geigy</w:t>
      </w:r>
      <w:r>
        <w:rPr>
          <w:rFonts w:ascii="Arial" w:hAnsi="Arial" w:cs="Arial"/>
          <w:sz w:val="24"/>
          <w:szCs w:val="24"/>
        </w:rPr>
        <w:t xml:space="preserve"> as the most abundant species. Consistent with our results, Lorusso et al. [42] also reported a higher female-to-male ratio in these ticks, except for </w:t>
      </w:r>
      <w:r>
        <w:rPr>
          <w:rFonts w:ascii="Arial" w:hAnsi="Arial" w:cs="Arial"/>
          <w:i/>
          <w:iCs/>
          <w:sz w:val="24"/>
          <w:szCs w:val="24"/>
        </w:rPr>
        <w:t>Rh. guilhoni</w:t>
      </w:r>
      <w:r>
        <w:rPr>
          <w:rFonts w:ascii="Arial" w:hAnsi="Arial" w:cs="Arial"/>
          <w:sz w:val="24"/>
          <w:szCs w:val="24"/>
        </w:rPr>
        <w:t>, which exhibited a higher number of males (2.3 males: 1 female). While it is well-documented that female ticks generally outnumber males [43, 44], some studies report contrary trends in other tick taxa [13, 45, 46].</w:t>
      </w:r>
    </w:p>
    <w:p w14:paraId="1A44D021">
      <w:pPr>
        <w:spacing w:line="480" w:lineRule="auto"/>
        <w:jc w:val="both"/>
        <w:rPr>
          <w:rFonts w:ascii="Arial" w:hAnsi="Arial" w:cs="Arial"/>
          <w:sz w:val="24"/>
          <w:szCs w:val="24"/>
          <w:lang w:val="en-GB"/>
        </w:rPr>
      </w:pPr>
      <w:r>
        <w:rPr>
          <w:rFonts w:ascii="Arial" w:hAnsi="Arial" w:cs="Arial"/>
          <w:sz w:val="24"/>
          <w:szCs w:val="24"/>
        </w:rPr>
        <w:t>The overlap in species similarity across predilection sites suggests that ticks sampled from one area can serve as a good estimator of taxa present in another. This supports the observation of low taxon preference for specific sites. However, the same cannot be said for tick sex, as males exhibit greater taxonomic diversity compared to females. While females are more numerous, they predominantly belong to a small subset of tick species, whereas males display greater species variation.</w:t>
      </w:r>
    </w:p>
    <w:p w14:paraId="5CF15169">
      <w:pPr>
        <w:spacing w:line="480" w:lineRule="auto"/>
        <w:jc w:val="both"/>
        <w:rPr>
          <w:rFonts w:ascii="Arial" w:hAnsi="Arial" w:cs="Arial"/>
          <w:b/>
          <w:sz w:val="24"/>
          <w:szCs w:val="24"/>
          <w:lang w:val="en-GB"/>
        </w:rPr>
      </w:pPr>
      <w:r>
        <w:rPr>
          <w:rFonts w:ascii="Arial" w:hAnsi="Arial" w:cs="Arial"/>
          <w:b/>
          <w:sz w:val="24"/>
          <w:szCs w:val="24"/>
          <w:lang w:val="en-GB"/>
        </w:rPr>
        <w:t>Limitations and Future Studies</w:t>
      </w:r>
    </w:p>
    <w:p w14:paraId="793C22D0">
      <w:pPr>
        <w:spacing w:line="480" w:lineRule="auto"/>
        <w:jc w:val="both"/>
        <w:rPr>
          <w:rFonts w:ascii="Arial" w:hAnsi="Arial" w:cs="Arial"/>
          <w:sz w:val="24"/>
          <w:szCs w:val="24"/>
          <w:lang w:val="en-GB"/>
        </w:rPr>
      </w:pPr>
      <w:r>
        <w:rPr>
          <w:rFonts w:ascii="Arial" w:hAnsi="Arial" w:cs="Arial"/>
          <w:sz w:val="24"/>
          <w:szCs w:val="24"/>
        </w:rPr>
        <w:t>Smaller or immature ticks may have been missed during sampling, potentially biasing the mature-to-immature tick ratio. Additionally, the lack of data on cattle phylogeny, age, and sex limits interpretation. Factors such as cattle size, breed, age, location, and predilection site characteristics likely influenced tick abundance. Future studies are needed to explore these factors and investigate potential phylogenetic relationships that could affect tick species preferences.</w:t>
      </w:r>
    </w:p>
    <w:p w14:paraId="4711AB86">
      <w:pPr>
        <w:spacing w:line="480" w:lineRule="auto"/>
        <w:jc w:val="both"/>
        <w:rPr>
          <w:rFonts w:ascii="Arial" w:hAnsi="Arial" w:cs="Arial"/>
          <w:b/>
          <w:sz w:val="24"/>
          <w:szCs w:val="24"/>
          <w:lang w:val="en-GB"/>
        </w:rPr>
      </w:pPr>
      <w:r>
        <w:rPr>
          <w:rFonts w:ascii="Arial" w:hAnsi="Arial" w:cs="Arial"/>
          <w:b/>
          <w:sz w:val="24"/>
          <w:szCs w:val="24"/>
          <w:lang w:val="en-GB"/>
        </w:rPr>
        <w:t>Conclusion</w:t>
      </w:r>
    </w:p>
    <w:p w14:paraId="01FA02D1">
      <w:pPr>
        <w:spacing w:line="480" w:lineRule="auto"/>
        <w:jc w:val="both"/>
        <w:rPr>
          <w:rFonts w:ascii="Arial" w:hAnsi="Arial" w:cs="Arial"/>
          <w:sz w:val="24"/>
          <w:szCs w:val="24"/>
          <w:lang w:val="en-GB"/>
        </w:rPr>
      </w:pPr>
      <w:r>
        <w:rPr>
          <w:rFonts w:ascii="Arial" w:hAnsi="Arial" w:cs="Arial"/>
          <w:sz w:val="24"/>
          <w:szCs w:val="24"/>
        </w:rPr>
        <w:t>This study reveals a high prevalence and diversity of tick species in cattle from a trade market in Edo State, Nigeria, with 1</w:t>
      </w:r>
      <w:r>
        <w:rPr>
          <w:rFonts w:hint="default" w:ascii="Arial" w:hAnsi="Arial" w:cs="Arial"/>
          <w:sz w:val="24"/>
          <w:szCs w:val="24"/>
          <w:lang w:val="en-US"/>
        </w:rPr>
        <w:t>3</w:t>
      </w:r>
      <w:r>
        <w:rPr>
          <w:rFonts w:ascii="Arial" w:hAnsi="Arial" w:cs="Arial"/>
          <w:sz w:val="24"/>
          <w:szCs w:val="24"/>
        </w:rPr>
        <w:t xml:space="preserve"> species recorded and the potential for more through additional sampling. The findings indicate significant shifts in tick community composition, including the absence of </w:t>
      </w:r>
      <w:r>
        <w:rPr>
          <w:rFonts w:ascii="Arial" w:hAnsi="Arial" w:cs="Arial"/>
          <w:i/>
          <w:iCs/>
          <w:sz w:val="24"/>
          <w:szCs w:val="24"/>
        </w:rPr>
        <w:t>Rh. microplus</w:t>
      </w:r>
      <w:r>
        <w:rPr>
          <w:rFonts w:ascii="Arial" w:hAnsi="Arial" w:cs="Arial"/>
          <w:sz w:val="24"/>
          <w:szCs w:val="24"/>
        </w:rPr>
        <w:t xml:space="preserve"> and the dominance of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The presence of multiple species per host and the predominance of female ticks—key vectors of tick-borne diseases—pose notable health risks to cattle and potentially humans. Tick diversity was consistent across predilection sites, although males exhibited greater species variation despite females being more abundant. These results underscore the need for a comprehensive, nationwide monitoring system to track tick prevalence and diversity in Nigeria, particularly given the significant role of cattle trade in spreading tick species across regions. Future research should explore tick-host dynamics through broader, standardized sampling protocols</w:t>
      </w:r>
      <w:r>
        <w:rPr>
          <w:rFonts w:ascii="Arial" w:hAnsi="Arial" w:cs="Arial"/>
          <w:sz w:val="24"/>
          <w:szCs w:val="24"/>
          <w:lang w:val="en-GB"/>
        </w:rPr>
        <w:t>.</w:t>
      </w:r>
    </w:p>
    <w:p w14:paraId="03063D79">
      <w:pPr>
        <w:spacing w:line="480" w:lineRule="auto"/>
        <w:jc w:val="both"/>
        <w:rPr>
          <w:rFonts w:ascii="Arial" w:hAnsi="Arial" w:cs="Arial"/>
          <w:b/>
          <w:szCs w:val="24"/>
          <w:lang w:val="en-GB"/>
        </w:rPr>
      </w:pPr>
      <w:r>
        <w:rPr>
          <w:rFonts w:ascii="Arial" w:hAnsi="Arial" w:cs="Arial"/>
          <w:b/>
          <w:szCs w:val="24"/>
          <w:lang w:val="en-GB"/>
        </w:rPr>
        <w:t>Author contributions</w:t>
      </w:r>
    </w:p>
    <w:p w14:paraId="634B8628">
      <w:pPr>
        <w:spacing w:line="480" w:lineRule="auto"/>
        <w:jc w:val="both"/>
        <w:rPr>
          <w:rFonts w:ascii="Arial" w:hAnsi="Arial" w:cs="Arial"/>
          <w:szCs w:val="24"/>
        </w:rPr>
      </w:pPr>
      <w:r>
        <w:rPr>
          <w:rFonts w:ascii="Arial" w:hAnsi="Arial" w:cs="Arial"/>
          <w:szCs w:val="24"/>
        </w:rPr>
        <w:t>AOO was responsible for conceptualizing and overseeing the study, contributing sections of the manuscript, and refining the final version. NEO prepared the initial draft and carried out data analysis. NO and ABO were actively involved in conducting the research and provided input to the manuscript preparation.</w:t>
      </w:r>
    </w:p>
    <w:p w14:paraId="3B8AF69F">
      <w:pPr>
        <w:spacing w:line="480" w:lineRule="auto"/>
        <w:jc w:val="both"/>
        <w:rPr>
          <w:rFonts w:ascii="Arial" w:hAnsi="Arial" w:cs="Arial"/>
          <w:b/>
          <w:szCs w:val="24"/>
        </w:rPr>
      </w:pPr>
      <w:r>
        <w:rPr>
          <w:rFonts w:ascii="Arial" w:hAnsi="Arial" w:cs="Arial"/>
          <w:b/>
          <w:szCs w:val="24"/>
        </w:rPr>
        <w:t>Acknowledgement</w:t>
      </w:r>
    </w:p>
    <w:p w14:paraId="4AA18755">
      <w:pPr>
        <w:spacing w:line="480" w:lineRule="auto"/>
        <w:jc w:val="both"/>
        <w:rPr>
          <w:rFonts w:ascii="Arial" w:hAnsi="Arial" w:cs="Arial"/>
          <w:szCs w:val="24"/>
          <w:lang w:val="en-GB"/>
        </w:rPr>
      </w:pPr>
      <w:r>
        <w:rPr>
          <w:rFonts w:ascii="Arial" w:hAnsi="Arial" w:cs="Arial"/>
          <w:szCs w:val="24"/>
        </w:rPr>
        <w:t>We are deeply grateful to the Edo State Ministry of Agriculture and Food Security, Edo State, Nigeria as well as the cattle traders, for providing access to cattle for tick sample collection. Our heartfelt appreciation also goes to the University of Benin Alumni, Jamaica Branch, for their generous donation of the dissecting microscope, which was instrumental for tick species identification within the Department of Animal and Environmental Biology, Faculty of Life Sciences, University of Benin</w:t>
      </w:r>
    </w:p>
    <w:p w14:paraId="717BC5EB">
      <w:pPr>
        <w:spacing w:line="480" w:lineRule="auto"/>
        <w:jc w:val="both"/>
        <w:rPr>
          <w:rFonts w:ascii="Arial" w:hAnsi="Arial" w:cs="Arial"/>
          <w:b/>
          <w:szCs w:val="24"/>
          <w:lang w:val="en-GB"/>
        </w:rPr>
      </w:pPr>
      <w:r>
        <w:rPr>
          <w:rFonts w:ascii="Arial" w:hAnsi="Arial" w:cs="Arial"/>
          <w:b/>
          <w:szCs w:val="24"/>
          <w:lang w:val="en-GB"/>
        </w:rPr>
        <w:t>Data availability</w:t>
      </w:r>
    </w:p>
    <w:p w14:paraId="765433D3">
      <w:pPr>
        <w:spacing w:line="480" w:lineRule="auto"/>
        <w:jc w:val="both"/>
        <w:rPr>
          <w:rStyle w:val="13"/>
          <w:rFonts w:ascii="Arial" w:hAnsi="Arial" w:cs="Arial"/>
          <w:szCs w:val="24"/>
          <w:lang w:val="en-GB"/>
        </w:rPr>
      </w:pPr>
      <w:r>
        <w:rPr>
          <w:rFonts w:ascii="Arial" w:hAnsi="Arial" w:cs="Arial"/>
          <w:szCs w:val="24"/>
          <w:lang w:val="en-GB"/>
        </w:rPr>
        <w:t xml:space="preserve">All Data and R-Scripts used in this study are openly available in this GitHub Repository: </w:t>
      </w:r>
      <w:r>
        <w:fldChar w:fldCharType="begin"/>
      </w:r>
      <w:r>
        <w:instrText xml:space="preserve"> HYPERLINK "https://github.com/Nosa-Osawe/Ticks" </w:instrText>
      </w:r>
      <w:r>
        <w:fldChar w:fldCharType="separate"/>
      </w:r>
      <w:r>
        <w:rPr>
          <w:rStyle w:val="13"/>
          <w:rFonts w:ascii="Arial" w:hAnsi="Arial" w:cs="Arial"/>
          <w:szCs w:val="24"/>
          <w:lang w:val="en-GB"/>
        </w:rPr>
        <w:t>https://github.com/Nosa-Osawe/Ticks</w:t>
      </w:r>
      <w:r>
        <w:rPr>
          <w:rStyle w:val="13"/>
          <w:rFonts w:ascii="Arial" w:hAnsi="Arial" w:cs="Arial"/>
          <w:szCs w:val="24"/>
          <w:lang w:val="en-GB"/>
        </w:rPr>
        <w:fldChar w:fldCharType="end"/>
      </w:r>
    </w:p>
    <w:p w14:paraId="292D76EC">
      <w:pPr>
        <w:spacing w:line="480" w:lineRule="auto"/>
        <w:jc w:val="both"/>
        <w:rPr>
          <w:rFonts w:ascii="Arial" w:hAnsi="Arial" w:cs="Arial"/>
          <w:b/>
          <w:sz w:val="24"/>
          <w:szCs w:val="24"/>
          <w:lang w:val="en-GB"/>
        </w:rPr>
      </w:pPr>
      <w:r>
        <w:rPr>
          <w:rFonts w:ascii="Arial" w:hAnsi="Arial" w:cs="Arial"/>
          <w:b/>
          <w:sz w:val="24"/>
          <w:szCs w:val="24"/>
          <w:lang w:val="en-GB"/>
        </w:rPr>
        <w:t>Declarations</w:t>
      </w:r>
    </w:p>
    <w:p w14:paraId="79DE5E7C">
      <w:pPr>
        <w:spacing w:line="480" w:lineRule="auto"/>
        <w:jc w:val="both"/>
        <w:rPr>
          <w:rStyle w:val="13"/>
          <w:rFonts w:ascii="Arial" w:hAnsi="Arial" w:cs="Arial"/>
          <w:color w:val="auto"/>
          <w:szCs w:val="24"/>
          <w:u w:val="none"/>
          <w:lang w:val="en-GB"/>
        </w:rPr>
      </w:pPr>
      <w:r>
        <w:rPr>
          <w:rStyle w:val="13"/>
          <w:rFonts w:ascii="Arial" w:hAnsi="Arial" w:cs="Arial"/>
          <w:b/>
          <w:color w:val="auto"/>
          <w:szCs w:val="24"/>
          <w:u w:val="none"/>
          <w:lang w:val="en-GB"/>
        </w:rPr>
        <w:t xml:space="preserve">Funding: </w:t>
      </w:r>
      <w:r>
        <w:rPr>
          <w:rStyle w:val="13"/>
          <w:rFonts w:ascii="Arial" w:hAnsi="Arial" w:cs="Arial"/>
          <w:color w:val="auto"/>
          <w:szCs w:val="24"/>
          <w:u w:val="none"/>
          <w:lang w:val="en-GB"/>
        </w:rPr>
        <w:t>The research received no external funding.</w:t>
      </w:r>
    </w:p>
    <w:p w14:paraId="236ECF34">
      <w:pPr>
        <w:spacing w:line="480" w:lineRule="auto"/>
        <w:jc w:val="both"/>
        <w:rPr>
          <w:rFonts w:ascii="Arial" w:hAnsi="Arial" w:cs="Arial"/>
          <w:szCs w:val="24"/>
          <w:lang w:val="en-GB"/>
        </w:rPr>
      </w:pPr>
      <w:r>
        <w:rPr>
          <w:rStyle w:val="13"/>
          <w:rFonts w:ascii="Arial" w:hAnsi="Arial" w:cs="Arial"/>
          <w:b/>
          <w:color w:val="auto"/>
          <w:szCs w:val="24"/>
          <w:u w:val="none"/>
          <w:lang w:val="en-GB"/>
        </w:rPr>
        <w:t xml:space="preserve">Clinical trial number: </w:t>
      </w:r>
      <w:r>
        <w:rPr>
          <w:rStyle w:val="13"/>
          <w:rFonts w:ascii="Arial" w:hAnsi="Arial" w:cs="Arial"/>
          <w:color w:val="auto"/>
          <w:szCs w:val="24"/>
          <w:u w:val="none"/>
          <w:lang w:val="en-GB"/>
        </w:rPr>
        <w:t>Not applicable</w:t>
      </w:r>
    </w:p>
    <w:p w14:paraId="3C542EAC">
      <w:pPr>
        <w:spacing w:line="480" w:lineRule="auto"/>
        <w:jc w:val="both"/>
        <w:rPr>
          <w:rFonts w:ascii="Arial" w:hAnsi="Arial" w:cs="Arial"/>
          <w:szCs w:val="24"/>
          <w:lang w:val="en-GB"/>
        </w:rPr>
      </w:pPr>
      <w:r>
        <w:rPr>
          <w:rFonts w:ascii="Arial" w:hAnsi="Arial" w:cs="Arial"/>
          <w:b/>
          <w:szCs w:val="24"/>
          <w:lang w:val="en-GB"/>
        </w:rPr>
        <w:t xml:space="preserve">Competing interests: </w:t>
      </w:r>
      <w:r>
        <w:rPr>
          <w:rFonts w:ascii="Arial" w:hAnsi="Arial" w:cs="Arial"/>
          <w:szCs w:val="24"/>
          <w:lang w:val="en-GB"/>
        </w:rPr>
        <w:t>The authors declare no competing interests.</w:t>
      </w:r>
    </w:p>
    <w:p w14:paraId="0EA5C5FE">
      <w:pPr>
        <w:spacing w:line="480" w:lineRule="auto"/>
        <w:jc w:val="both"/>
        <w:rPr>
          <w:rFonts w:ascii="Arial" w:hAnsi="Arial" w:cs="Arial"/>
          <w:szCs w:val="24"/>
          <w:lang w:val="en-GB"/>
        </w:rPr>
      </w:pPr>
      <w:r>
        <w:rPr>
          <w:rFonts w:ascii="Arial" w:hAnsi="Arial" w:cs="Arial"/>
          <w:b/>
          <w:szCs w:val="24"/>
          <w:lang w:val="en-GB"/>
        </w:rPr>
        <w:t>Ethics, Consent to Participate, and Consent to Publish:</w:t>
      </w:r>
      <w:r>
        <w:rPr>
          <w:rFonts w:ascii="Arial" w:hAnsi="Arial" w:cs="Arial"/>
          <w:szCs w:val="24"/>
          <w:lang w:val="en-GB"/>
        </w:rPr>
        <w:t xml:space="preserve"> T</w:t>
      </w:r>
      <w:r>
        <w:rPr>
          <w:rFonts w:ascii="Arial" w:hAnsi="Arial" w:cs="Arial"/>
          <w:szCs w:val="24"/>
        </w:rPr>
        <w:t>he study was approved by the ethics committee/IRB (Ministry of Agriculture and Food Security Research and Ethical Committee (MAFSEC), Edo State, Nigeria (REF: 1041/56)). The study adhered to ethical guidelines for the care and use of animals, prioritizing humane treatment and actively minimizing any potential suffering throughout the research.</w:t>
      </w:r>
    </w:p>
    <w:p w14:paraId="2459AC09">
      <w:pPr>
        <w:pStyle w:val="2"/>
        <w:numPr>
          <w:ilvl w:val="0"/>
          <w:numId w:val="1"/>
        </w:numPr>
        <w:rPr>
          <w:rFonts w:ascii="Arial" w:hAnsi="Arial" w:cs="Arial"/>
          <w:sz w:val="24"/>
          <w:lang w:val="en-GB"/>
        </w:rPr>
      </w:pPr>
      <w:r>
        <w:rPr>
          <w:rFonts w:ascii="Arial" w:hAnsi="Arial" w:cs="Arial"/>
          <w:sz w:val="24"/>
          <w:lang w:val="en-GB"/>
        </w:rPr>
        <w:t xml:space="preserve">    REFERENCES</w:t>
      </w:r>
    </w:p>
    <w:p w14:paraId="466D484A">
      <w:pPr>
        <w:pStyle w:val="24"/>
        <w:numPr>
          <w:ilvl w:val="0"/>
          <w:numId w:val="3"/>
        </w:numPr>
        <w:jc w:val="both"/>
        <w:rPr>
          <w:rFonts w:ascii="Arial" w:hAnsi="Arial" w:cs="Arial"/>
        </w:rPr>
      </w:pPr>
      <w:r>
        <w:rPr>
          <w:rFonts w:ascii="Arial" w:hAnsi="Arial" w:cs="Arial"/>
          <w:bCs/>
          <w:sz w:val="24"/>
          <w:szCs w:val="24"/>
        </w:rPr>
        <w:t xml:space="preserve">Rajput ZI, Hu SH, Chen WJ, Arijo AG, Xiao CW. </w:t>
      </w:r>
      <w:r>
        <w:rPr>
          <w:rFonts w:ascii="Arial" w:hAnsi="Arial" w:cs="Arial"/>
          <w:sz w:val="24"/>
          <w:szCs w:val="24"/>
        </w:rPr>
        <w:t xml:space="preserve">Importance of ticks and their chemical and immunological control in livestock. </w:t>
      </w:r>
      <w:r>
        <w:rPr>
          <w:rFonts w:ascii="Arial" w:hAnsi="Arial" w:cs="Arial"/>
          <w:iCs/>
          <w:sz w:val="24"/>
          <w:szCs w:val="24"/>
        </w:rPr>
        <w:t xml:space="preserve">J. Zhejiang Univ. Sci. B. </w:t>
      </w:r>
      <w:r>
        <w:rPr>
          <w:rFonts w:ascii="Arial" w:hAnsi="Arial" w:cs="Arial"/>
          <w:bCs/>
          <w:sz w:val="24"/>
          <w:szCs w:val="24"/>
        </w:rPr>
        <w:t>2006;</w:t>
      </w:r>
      <w:r>
        <w:rPr>
          <w:rFonts w:ascii="Arial" w:hAnsi="Arial" w:cs="Arial"/>
          <w:iCs/>
          <w:sz w:val="24"/>
          <w:szCs w:val="24"/>
        </w:rPr>
        <w:t>7</w:t>
      </w:r>
      <w:r>
        <w:rPr>
          <w:rFonts w:ascii="Arial" w:hAnsi="Arial" w:cs="Arial"/>
          <w:sz w:val="24"/>
          <w:szCs w:val="24"/>
        </w:rPr>
        <w:t xml:space="preserve">(11): 912–921. </w:t>
      </w:r>
      <w:r>
        <w:fldChar w:fldCharType="begin"/>
      </w:r>
      <w:r>
        <w:instrText xml:space="preserve"> HYPERLINK "https://doi.org/10.1631/jzus.2006.B0912" </w:instrText>
      </w:r>
      <w:r>
        <w:fldChar w:fldCharType="separate"/>
      </w:r>
      <w:r>
        <w:rPr>
          <w:rStyle w:val="13"/>
          <w:rFonts w:ascii="Arial" w:hAnsi="Arial" w:cs="Arial"/>
          <w:sz w:val="24"/>
          <w:szCs w:val="24"/>
        </w:rPr>
        <w:t>https://doi.org/10.1631/jzus.2006.B0912</w:t>
      </w:r>
      <w:r>
        <w:rPr>
          <w:rStyle w:val="13"/>
          <w:rFonts w:ascii="Arial" w:hAnsi="Arial" w:cs="Arial"/>
          <w:sz w:val="24"/>
          <w:szCs w:val="24"/>
        </w:rPr>
        <w:fldChar w:fldCharType="end"/>
      </w:r>
      <w:r>
        <w:rPr>
          <w:rFonts w:ascii="Arial" w:hAnsi="Arial" w:cs="Arial"/>
          <w:sz w:val="24"/>
          <w:szCs w:val="24"/>
        </w:rPr>
        <w:t>.</w:t>
      </w:r>
    </w:p>
    <w:p w14:paraId="697B2B01">
      <w:pPr>
        <w:pStyle w:val="24"/>
        <w:numPr>
          <w:ilvl w:val="0"/>
          <w:numId w:val="3"/>
        </w:numPr>
        <w:tabs>
          <w:tab w:val="left" w:pos="990"/>
        </w:tabs>
        <w:spacing w:before="240" w:line="276" w:lineRule="auto"/>
        <w:jc w:val="both"/>
        <w:rPr>
          <w:rFonts w:ascii="Arial" w:hAnsi="Arial" w:cs="Arial"/>
        </w:rPr>
      </w:pPr>
      <w:r>
        <w:rPr>
          <w:rFonts w:ascii="Arial" w:hAnsi="Arial" w:cs="Arial"/>
          <w:bCs/>
          <w:sz w:val="24"/>
          <w:szCs w:val="24"/>
        </w:rPr>
        <w:t xml:space="preserve">Randolph SE. The impact of tick ecology on pathogen transmission dynamics. </w:t>
      </w:r>
      <w:r>
        <w:rPr>
          <w:rFonts w:ascii="Arial" w:hAnsi="Arial" w:cs="Arial"/>
          <w:bCs/>
          <w:iCs/>
          <w:sz w:val="24"/>
          <w:szCs w:val="24"/>
        </w:rPr>
        <w:t xml:space="preserve">Int. J. Med. Microbiol. </w:t>
      </w:r>
      <w:r>
        <w:rPr>
          <w:rFonts w:ascii="Arial" w:hAnsi="Arial" w:cs="Arial"/>
          <w:bCs/>
          <w:sz w:val="24"/>
          <w:szCs w:val="24"/>
        </w:rPr>
        <w:t>2008;</w:t>
      </w:r>
      <w:r>
        <w:rPr>
          <w:rFonts w:ascii="Arial" w:hAnsi="Arial" w:cs="Arial"/>
          <w:bCs/>
          <w:iCs/>
          <w:sz w:val="24"/>
          <w:szCs w:val="24"/>
        </w:rPr>
        <w:t>298</w:t>
      </w:r>
      <w:r>
        <w:rPr>
          <w:rFonts w:ascii="Arial" w:hAnsi="Arial" w:cs="Arial"/>
          <w:bCs/>
          <w:sz w:val="24"/>
          <w:szCs w:val="24"/>
        </w:rPr>
        <w:t xml:space="preserve">(S1):9–18. </w:t>
      </w:r>
      <w:r>
        <w:fldChar w:fldCharType="begin"/>
      </w:r>
      <w:r>
        <w:instrText xml:space="preserve"> HYPERLINK "https://doi.org/10.1016/j.ijmm.2007.09.007" </w:instrText>
      </w:r>
      <w:r>
        <w:fldChar w:fldCharType="separate"/>
      </w:r>
      <w:r>
        <w:rPr>
          <w:rStyle w:val="13"/>
          <w:rFonts w:ascii="Arial" w:hAnsi="Arial" w:cs="Arial"/>
          <w:bCs/>
          <w:sz w:val="24"/>
          <w:szCs w:val="24"/>
        </w:rPr>
        <w:t>https://doi.org/10.1016/j.ijmm.2007.09.007</w:t>
      </w:r>
      <w:r>
        <w:rPr>
          <w:rStyle w:val="13"/>
          <w:rFonts w:ascii="Arial" w:hAnsi="Arial" w:cs="Arial"/>
          <w:bCs/>
          <w:sz w:val="24"/>
          <w:szCs w:val="24"/>
        </w:rPr>
        <w:fldChar w:fldCharType="end"/>
      </w:r>
      <w:r>
        <w:rPr>
          <w:rFonts w:ascii="Arial" w:hAnsi="Arial" w:cs="Arial"/>
          <w:bCs/>
          <w:sz w:val="24"/>
          <w:szCs w:val="24"/>
        </w:rPr>
        <w:t xml:space="preserve">. </w:t>
      </w:r>
    </w:p>
    <w:p w14:paraId="352DA35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Mollong E, Lébri M, Marie-Magdeleine C, Lagou SM, Naves M, Bambou J-C.</w:t>
      </w:r>
      <w:r>
        <w:rPr>
          <w:rFonts w:ascii="Arial" w:hAnsi="Arial" w:cs="Arial"/>
          <w:sz w:val="24"/>
          <w:szCs w:val="24"/>
        </w:rPr>
        <w:t xml:space="preserve"> Sustainable management of tick infestations in cattle: A tropical perspective. </w:t>
      </w:r>
      <w:r>
        <w:rPr>
          <w:rFonts w:ascii="Arial" w:hAnsi="Arial" w:cs="Arial"/>
          <w:iCs/>
          <w:sz w:val="24"/>
          <w:szCs w:val="24"/>
        </w:rPr>
        <w:t>Parasit. Vectors.</w:t>
      </w:r>
      <w:r>
        <w:rPr>
          <w:rFonts w:ascii="Arial" w:hAnsi="Arial" w:cs="Arial"/>
          <w:i/>
          <w:iCs/>
          <w:sz w:val="24"/>
          <w:szCs w:val="24"/>
        </w:rPr>
        <w:t xml:space="preserve"> </w:t>
      </w:r>
      <w:r>
        <w:rPr>
          <w:rFonts w:ascii="Arial" w:hAnsi="Arial" w:cs="Arial"/>
          <w:bCs/>
          <w:sz w:val="24"/>
          <w:szCs w:val="24"/>
        </w:rPr>
        <w:t>2025;</w:t>
      </w:r>
      <w:r>
        <w:rPr>
          <w:rFonts w:ascii="Arial" w:hAnsi="Arial" w:cs="Arial"/>
          <w:iCs/>
          <w:sz w:val="24"/>
          <w:szCs w:val="24"/>
        </w:rPr>
        <w:t>18</w:t>
      </w:r>
      <w:r>
        <w:rPr>
          <w:rFonts w:ascii="Arial" w:hAnsi="Arial" w:cs="Arial"/>
          <w:sz w:val="24"/>
          <w:szCs w:val="24"/>
        </w:rPr>
        <w:t xml:space="preserve">(1): Article 62. </w:t>
      </w:r>
      <w:r>
        <w:fldChar w:fldCharType="begin"/>
      </w:r>
      <w:r>
        <w:instrText xml:space="preserve"> HYPERLINK "https://doi.org/10.1186/s13071-025-06684-4" </w:instrText>
      </w:r>
      <w:r>
        <w:fldChar w:fldCharType="separate"/>
      </w:r>
      <w:r>
        <w:rPr>
          <w:rStyle w:val="13"/>
          <w:rFonts w:ascii="Arial" w:hAnsi="Arial" w:cs="Arial"/>
          <w:sz w:val="24"/>
          <w:szCs w:val="24"/>
        </w:rPr>
        <w:t>https://doi.org/10.1186/s13071-025-06684-4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2DF787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Manzano-Román R, Díaz-Martín V, de la Fuente J, Pérez-Sánchez R. </w:t>
      </w:r>
      <w:r>
        <w:rPr>
          <w:rFonts w:ascii="Arial" w:hAnsi="Arial" w:cs="Arial"/>
          <w:sz w:val="24"/>
          <w:szCs w:val="24"/>
        </w:rPr>
        <w:t xml:space="preserve">Soft ticks as pathogen vectors: distribution, surveillance, and control. </w:t>
      </w:r>
      <w:r>
        <w:rPr>
          <w:rFonts w:ascii="Arial" w:hAnsi="Arial" w:cs="Arial"/>
          <w:iCs/>
          <w:sz w:val="24"/>
          <w:szCs w:val="24"/>
        </w:rPr>
        <w:t xml:space="preserve">Parasitology. </w:t>
      </w:r>
      <w:r>
        <w:rPr>
          <w:rFonts w:ascii="Arial" w:hAnsi="Arial" w:cs="Arial"/>
          <w:bCs/>
          <w:sz w:val="24"/>
          <w:szCs w:val="24"/>
        </w:rPr>
        <w:t>2012;</w:t>
      </w:r>
      <w:r>
        <w:rPr>
          <w:rFonts w:ascii="Arial" w:hAnsi="Arial" w:cs="Arial"/>
          <w:iCs/>
          <w:sz w:val="24"/>
          <w:szCs w:val="24"/>
        </w:rPr>
        <w:t>7:</w:t>
      </w:r>
      <w:r>
        <w:rPr>
          <w:rFonts w:ascii="Arial" w:hAnsi="Arial" w:cs="Arial"/>
          <w:sz w:val="24"/>
          <w:szCs w:val="24"/>
        </w:rPr>
        <w:t>125–162.</w:t>
      </w:r>
    </w:p>
    <w:p w14:paraId="421CB0B0">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Barré N, Uilenberg G. Spread of parasites transported with their hosts: Case study of two species of cattle tick. </w:t>
      </w:r>
      <w:r>
        <w:rPr>
          <w:rFonts w:ascii="Arial" w:hAnsi="Arial" w:cs="Arial"/>
          <w:iCs/>
          <w:sz w:val="24"/>
          <w:szCs w:val="24"/>
        </w:rPr>
        <w:t xml:space="preserve">Rev. Sci. Tech. </w:t>
      </w:r>
      <w:r>
        <w:rPr>
          <w:rFonts w:ascii="Arial" w:hAnsi="Arial" w:cs="Arial"/>
          <w:sz w:val="24"/>
          <w:szCs w:val="24"/>
        </w:rPr>
        <w:t>2010;</w:t>
      </w:r>
      <w:r>
        <w:rPr>
          <w:rFonts w:ascii="Arial" w:hAnsi="Arial" w:cs="Arial"/>
          <w:iCs/>
          <w:sz w:val="24"/>
          <w:szCs w:val="24"/>
        </w:rPr>
        <w:t>29</w:t>
      </w:r>
      <w:r>
        <w:rPr>
          <w:rFonts w:ascii="Arial" w:hAnsi="Arial" w:cs="Arial"/>
          <w:sz w:val="24"/>
          <w:szCs w:val="24"/>
        </w:rPr>
        <w:t xml:space="preserve">(1):149–162. </w:t>
      </w:r>
      <w:r>
        <w:fldChar w:fldCharType="begin"/>
      </w:r>
      <w:r>
        <w:instrText xml:space="preserve"> HYPERLINK "https://doi.org/10.20506/rst.29.1.1968" </w:instrText>
      </w:r>
      <w:r>
        <w:fldChar w:fldCharType="separate"/>
      </w:r>
      <w:r>
        <w:rPr>
          <w:rStyle w:val="13"/>
          <w:rFonts w:ascii="Arial" w:hAnsi="Arial" w:cs="Arial"/>
          <w:sz w:val="24"/>
          <w:szCs w:val="24"/>
        </w:rPr>
        <w:t>https://doi.org/10.20506/rst.29.1.1968</w:t>
      </w:r>
      <w:r>
        <w:rPr>
          <w:rStyle w:val="13"/>
          <w:rFonts w:ascii="Arial" w:hAnsi="Arial" w:cs="Arial"/>
          <w:sz w:val="24"/>
          <w:szCs w:val="24"/>
        </w:rPr>
        <w:fldChar w:fldCharType="end"/>
      </w:r>
      <w:r>
        <w:rPr>
          <w:rFonts w:ascii="Arial" w:hAnsi="Arial" w:cs="Arial"/>
          <w:sz w:val="24"/>
          <w:szCs w:val="24"/>
        </w:rPr>
        <w:t xml:space="preserve"> </w:t>
      </w:r>
    </w:p>
    <w:p w14:paraId="61B332C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Githaka N, Adakal H, Dayo GK, Belem A, Moutaïrou K, Thevenon S, Chevillon C.</w:t>
      </w:r>
      <w:r>
        <w:rPr>
          <w:rFonts w:ascii="Arial" w:hAnsi="Arial" w:cs="Arial"/>
          <w:sz w:val="24"/>
          <w:szCs w:val="24"/>
        </w:rPr>
        <w:t xml:space="preserve"> The potential of </w:t>
      </w:r>
      <w:r>
        <w:rPr>
          <w:rFonts w:ascii="Arial" w:hAnsi="Arial" w:cs="Arial"/>
          <w:i/>
          <w:iCs/>
          <w:sz w:val="24"/>
          <w:szCs w:val="24"/>
        </w:rPr>
        <w:t>Rhipicephalus microplus</w:t>
      </w:r>
      <w:r>
        <w:rPr>
          <w:rFonts w:ascii="Arial" w:hAnsi="Arial" w:cs="Arial"/>
          <w:sz w:val="24"/>
          <w:szCs w:val="24"/>
        </w:rPr>
        <w:t xml:space="preserve"> as a vector of </w:t>
      </w:r>
      <w:r>
        <w:rPr>
          <w:rFonts w:ascii="Arial" w:hAnsi="Arial" w:cs="Arial"/>
          <w:i/>
          <w:iCs/>
          <w:sz w:val="24"/>
          <w:szCs w:val="24"/>
        </w:rPr>
        <w:t>Ehrlichia ruminantium</w:t>
      </w:r>
      <w:r>
        <w:rPr>
          <w:rFonts w:ascii="Arial" w:hAnsi="Arial" w:cs="Arial"/>
          <w:sz w:val="24"/>
          <w:szCs w:val="24"/>
        </w:rPr>
        <w:t xml:space="preserve"> in West Africa. </w:t>
      </w:r>
      <w:r>
        <w:rPr>
          <w:rFonts w:ascii="Arial" w:hAnsi="Arial" w:cs="Arial"/>
          <w:iCs/>
          <w:sz w:val="24"/>
          <w:szCs w:val="24"/>
        </w:rPr>
        <w:t xml:space="preserve">Ticks Tick Borne Dis. </w:t>
      </w:r>
      <w:r>
        <w:rPr>
          <w:rFonts w:ascii="Arial" w:hAnsi="Arial" w:cs="Arial"/>
          <w:bCs/>
          <w:sz w:val="24"/>
          <w:szCs w:val="24"/>
        </w:rPr>
        <w:t>2023a</w:t>
      </w:r>
      <w:r>
        <w:rPr>
          <w:rFonts w:ascii="Arial" w:hAnsi="Arial" w:cs="Arial"/>
          <w:iCs/>
          <w:sz w:val="24"/>
          <w:szCs w:val="24"/>
        </w:rPr>
        <w:t>;14</w:t>
      </w:r>
      <w:r>
        <w:rPr>
          <w:rFonts w:ascii="Arial" w:hAnsi="Arial" w:cs="Arial"/>
          <w:sz w:val="24"/>
          <w:szCs w:val="24"/>
        </w:rPr>
        <w:t>(2):102117.</w:t>
      </w:r>
    </w:p>
    <w:p w14:paraId="32AF797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Zoungrana S, Zoungrana A, Belem AM.</w:t>
      </w:r>
      <w:r>
        <w:rPr>
          <w:rFonts w:ascii="Arial" w:hAnsi="Arial" w:cs="Arial"/>
          <w:sz w:val="24"/>
          <w:szCs w:val="24"/>
        </w:rPr>
        <w:t xml:space="preserve"> Epidemiology of heartwater disease in West Africa: Similar infection rate of </w:t>
      </w:r>
      <w:r>
        <w:rPr>
          <w:rFonts w:ascii="Arial" w:hAnsi="Arial" w:cs="Arial"/>
          <w:i/>
          <w:iCs/>
          <w:sz w:val="24"/>
          <w:szCs w:val="24"/>
        </w:rPr>
        <w:t>Ehrlichia ruminantium</w:t>
      </w:r>
      <w:r>
        <w:rPr>
          <w:rFonts w:ascii="Arial" w:hAnsi="Arial" w:cs="Arial"/>
          <w:sz w:val="24"/>
          <w:szCs w:val="24"/>
        </w:rPr>
        <w:t xml:space="preserve"> evidenced in adults of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in peri-urban villages of Bobo-Dioulasso, Burkina Faso. </w:t>
      </w:r>
      <w:r>
        <w:rPr>
          <w:rFonts w:ascii="Arial" w:hAnsi="Arial" w:cs="Arial"/>
          <w:iCs/>
          <w:sz w:val="24"/>
          <w:szCs w:val="24"/>
        </w:rPr>
        <w:t xml:space="preserve">Int. J. Biol. Chem. Sci. </w:t>
      </w:r>
      <w:r>
        <w:rPr>
          <w:rFonts w:ascii="Arial" w:hAnsi="Arial" w:cs="Arial"/>
          <w:bCs/>
          <w:sz w:val="24"/>
          <w:szCs w:val="24"/>
        </w:rPr>
        <w:t>2023b</w:t>
      </w:r>
      <w:r>
        <w:rPr>
          <w:rFonts w:ascii="Arial" w:hAnsi="Arial" w:cs="Arial"/>
          <w:iCs/>
          <w:sz w:val="24"/>
          <w:szCs w:val="24"/>
        </w:rPr>
        <w:t>;17</w:t>
      </w:r>
      <w:r>
        <w:rPr>
          <w:rFonts w:ascii="Arial" w:hAnsi="Arial" w:cs="Arial"/>
          <w:sz w:val="24"/>
          <w:szCs w:val="24"/>
        </w:rPr>
        <w:t>(2):400–6</w:t>
      </w:r>
      <w:r>
        <w:rPr>
          <w:rFonts w:ascii="Arial" w:hAnsi="Arial" w:cs="Arial"/>
          <w:sz w:val="24"/>
          <w:szCs w:val="24"/>
          <w:lang w:val="en-GB"/>
        </w:rPr>
        <w:t>.</w:t>
      </w:r>
    </w:p>
    <w:p w14:paraId="10D2E801">
      <w:pPr>
        <w:pStyle w:val="24"/>
        <w:numPr>
          <w:ilvl w:val="0"/>
          <w:numId w:val="3"/>
        </w:numPr>
        <w:jc w:val="both"/>
        <w:rPr>
          <w:rFonts w:ascii="Arial" w:hAnsi="Arial" w:cs="Arial"/>
        </w:rPr>
      </w:pPr>
      <w:r>
        <w:rPr>
          <w:rFonts w:ascii="Arial" w:hAnsi="Arial" w:cs="Arial"/>
          <w:bCs/>
          <w:sz w:val="24"/>
          <w:szCs w:val="24"/>
        </w:rPr>
        <w:t>Karbowiak G, Biernat B, Szewczyk T, Sytykiewicz H.</w:t>
      </w:r>
      <w:r>
        <w:rPr>
          <w:rFonts w:ascii="Arial" w:hAnsi="Arial" w:cs="Arial"/>
          <w:sz w:val="24"/>
          <w:szCs w:val="24"/>
        </w:rPr>
        <w:t xml:space="preserve"> The role of particular tick developmental stages in the circulation of tick-borne pathogens affecting humans in Central Europe. 1. The general pattern. </w:t>
      </w:r>
      <w:r>
        <w:rPr>
          <w:rFonts w:ascii="Arial" w:hAnsi="Arial" w:cs="Arial"/>
          <w:iCs/>
          <w:sz w:val="24"/>
          <w:szCs w:val="24"/>
        </w:rPr>
        <w:t xml:space="preserve">Ann. Parasitol. </w:t>
      </w:r>
      <w:r>
        <w:rPr>
          <w:rFonts w:ascii="Arial" w:hAnsi="Arial" w:cs="Arial"/>
          <w:bCs/>
          <w:sz w:val="24"/>
          <w:szCs w:val="24"/>
        </w:rPr>
        <w:t>2015;</w:t>
      </w:r>
      <w:r>
        <w:rPr>
          <w:rFonts w:ascii="Arial" w:hAnsi="Arial" w:cs="Arial"/>
          <w:iCs/>
          <w:sz w:val="24"/>
          <w:szCs w:val="24"/>
        </w:rPr>
        <w:t>61</w:t>
      </w:r>
      <w:r>
        <w:rPr>
          <w:rFonts w:ascii="Arial" w:hAnsi="Arial" w:cs="Arial"/>
          <w:sz w:val="24"/>
          <w:szCs w:val="24"/>
        </w:rPr>
        <w:t>(4):221–30</w:t>
      </w:r>
    </w:p>
    <w:p w14:paraId="061B1CD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Kamaraj C, Gandhi PR, Kumar RCS, Balasubramani G, Malafaia G.</w:t>
      </w:r>
      <w:r>
        <w:rPr>
          <w:rFonts w:ascii="Arial" w:hAnsi="Arial" w:cs="Arial"/>
          <w:sz w:val="24"/>
          <w:szCs w:val="24"/>
        </w:rPr>
        <w:t xml:space="preserve"> Biosynthesis and extrinsic toxicity of copper oxide nanoparticles against cattle parasites: an eco-friendly approach. </w:t>
      </w:r>
      <w:r>
        <w:rPr>
          <w:rFonts w:ascii="Arial" w:hAnsi="Arial" w:cs="Arial"/>
          <w:iCs/>
          <w:sz w:val="24"/>
          <w:szCs w:val="24"/>
        </w:rPr>
        <w:t xml:space="preserve">Environ. Res. </w:t>
      </w:r>
      <w:r>
        <w:rPr>
          <w:rFonts w:ascii="Arial" w:hAnsi="Arial" w:cs="Arial"/>
          <w:bCs/>
          <w:sz w:val="24"/>
          <w:szCs w:val="24"/>
        </w:rPr>
        <w:t>2022;</w:t>
      </w:r>
      <w:r>
        <w:rPr>
          <w:rFonts w:ascii="Arial" w:hAnsi="Arial" w:cs="Arial"/>
          <w:iCs/>
          <w:sz w:val="24"/>
          <w:szCs w:val="24"/>
        </w:rPr>
        <w:t>214:</w:t>
      </w:r>
      <w:r>
        <w:rPr>
          <w:rFonts w:ascii="Arial" w:hAnsi="Arial" w:cs="Arial"/>
          <w:sz w:val="24"/>
          <w:szCs w:val="24"/>
        </w:rPr>
        <w:t xml:space="preserve">Article114009. </w:t>
      </w:r>
      <w:r>
        <w:fldChar w:fldCharType="begin"/>
      </w:r>
      <w:r>
        <w:instrText xml:space="preserve"> HYPERLINK "https://doi.org/10.1016/j.envres.2022.114009" </w:instrText>
      </w:r>
      <w:r>
        <w:fldChar w:fldCharType="separate"/>
      </w:r>
      <w:r>
        <w:rPr>
          <w:rStyle w:val="13"/>
          <w:rFonts w:ascii="Arial" w:hAnsi="Arial" w:cs="Arial"/>
          <w:sz w:val="24"/>
          <w:szCs w:val="24"/>
        </w:rPr>
        <w:t>https://doi.org/10.1016/j.envres.2022.114009</w:t>
      </w:r>
      <w:r>
        <w:rPr>
          <w:rStyle w:val="13"/>
          <w:rFonts w:ascii="Arial" w:hAnsi="Arial" w:cs="Arial"/>
          <w:sz w:val="24"/>
          <w:szCs w:val="24"/>
        </w:rPr>
        <w:fldChar w:fldCharType="end"/>
      </w:r>
      <w:r>
        <w:rPr>
          <w:rFonts w:ascii="Arial" w:hAnsi="Arial" w:cs="Arial"/>
          <w:sz w:val="24"/>
          <w:szCs w:val="24"/>
        </w:rPr>
        <w:t xml:space="preserve">. </w:t>
      </w:r>
    </w:p>
    <w:p w14:paraId="592D6F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Nasirian H.</w:t>
      </w:r>
      <w:r>
        <w:rPr>
          <w:rFonts w:ascii="Arial" w:hAnsi="Arial" w:cs="Arial"/>
          <w:sz w:val="24"/>
          <w:szCs w:val="24"/>
        </w:rPr>
        <w:t xml:space="preserve"> Detailed new insights about tick infestations in domestic ruminant groups: a global systematic review and meta-analysis. </w:t>
      </w:r>
      <w:r>
        <w:rPr>
          <w:rFonts w:ascii="Arial" w:hAnsi="Arial" w:cs="Arial"/>
          <w:iCs/>
          <w:sz w:val="24"/>
          <w:szCs w:val="24"/>
        </w:rPr>
        <w:t xml:space="preserve">J. Parasit. Dis. </w:t>
      </w:r>
      <w:r>
        <w:rPr>
          <w:rFonts w:ascii="Arial" w:hAnsi="Arial" w:cs="Arial"/>
          <w:bCs/>
          <w:sz w:val="24"/>
          <w:szCs w:val="24"/>
        </w:rPr>
        <w:t>2022;</w:t>
      </w:r>
      <w:r>
        <w:rPr>
          <w:rFonts w:ascii="Arial" w:hAnsi="Arial" w:cs="Arial"/>
          <w:iCs/>
          <w:sz w:val="24"/>
          <w:szCs w:val="24"/>
        </w:rPr>
        <w:t>46</w:t>
      </w:r>
      <w:r>
        <w:rPr>
          <w:rFonts w:ascii="Arial" w:hAnsi="Arial" w:cs="Arial"/>
          <w:sz w:val="24"/>
          <w:szCs w:val="24"/>
        </w:rPr>
        <w:t xml:space="preserve">(2):526–601. </w:t>
      </w:r>
      <w:r>
        <w:fldChar w:fldCharType="begin"/>
      </w:r>
      <w:r>
        <w:instrText xml:space="preserve"> HYPERLINK "https://doi.org/10.1007/s12639-021-01460-4" </w:instrText>
      </w:r>
      <w:r>
        <w:fldChar w:fldCharType="separate"/>
      </w:r>
      <w:r>
        <w:rPr>
          <w:rStyle w:val="13"/>
          <w:rFonts w:ascii="Arial" w:hAnsi="Arial" w:cs="Arial"/>
          <w:sz w:val="24"/>
          <w:szCs w:val="24"/>
        </w:rPr>
        <w:t>https://doi.org/10.1007/s12639-021-01460-4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F19230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Eskezia BG, Desta AH. Review on the impact of ticks on livestock health and productivity. </w:t>
      </w:r>
      <w:r>
        <w:rPr>
          <w:rFonts w:ascii="Arial" w:hAnsi="Arial" w:cs="Arial"/>
          <w:iCs/>
          <w:sz w:val="24"/>
          <w:szCs w:val="24"/>
        </w:rPr>
        <w:t xml:space="preserve">J. Biol. Agric. Healthc. </w:t>
      </w:r>
      <w:r>
        <w:rPr>
          <w:rFonts w:ascii="Arial" w:hAnsi="Arial" w:cs="Arial"/>
          <w:sz w:val="24"/>
          <w:szCs w:val="24"/>
        </w:rPr>
        <w:t>2016;</w:t>
      </w:r>
      <w:r>
        <w:rPr>
          <w:rFonts w:ascii="Arial" w:hAnsi="Arial" w:cs="Arial"/>
          <w:iCs/>
          <w:sz w:val="24"/>
          <w:szCs w:val="24"/>
        </w:rPr>
        <w:t>6</w:t>
      </w:r>
      <w:r>
        <w:rPr>
          <w:rFonts w:ascii="Arial" w:hAnsi="Arial" w:cs="Arial"/>
          <w:sz w:val="24"/>
          <w:szCs w:val="24"/>
        </w:rPr>
        <w:t>(22):1–7.</w:t>
      </w:r>
    </w:p>
    <w:p w14:paraId="4260DF3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Stachurski F.</w:t>
      </w:r>
      <w:r>
        <w:rPr>
          <w:rFonts w:ascii="Arial" w:hAnsi="Arial" w:cs="Arial"/>
          <w:sz w:val="24"/>
          <w:szCs w:val="24"/>
        </w:rPr>
        <w:t xml:space="preserve"> Attachment kinetics of the adult tick </w:t>
      </w:r>
      <w:r>
        <w:rPr>
          <w:rFonts w:ascii="Arial" w:hAnsi="Arial" w:cs="Arial"/>
          <w:i/>
          <w:iCs/>
          <w:sz w:val="24"/>
          <w:szCs w:val="24"/>
        </w:rPr>
        <w:t>Amblyomma variegatum</w:t>
      </w:r>
      <w:r>
        <w:rPr>
          <w:rFonts w:ascii="Arial" w:hAnsi="Arial" w:cs="Arial"/>
          <w:sz w:val="24"/>
          <w:szCs w:val="24"/>
        </w:rPr>
        <w:t xml:space="preserve"> to cattle. </w:t>
      </w:r>
      <w:r>
        <w:rPr>
          <w:rFonts w:ascii="Arial" w:hAnsi="Arial" w:cs="Arial"/>
          <w:iCs/>
          <w:sz w:val="24"/>
          <w:szCs w:val="24"/>
        </w:rPr>
        <w:t xml:space="preserve">Med. Vet. Entomol. </w:t>
      </w:r>
      <w:r>
        <w:rPr>
          <w:rFonts w:ascii="Arial" w:hAnsi="Arial" w:cs="Arial"/>
          <w:bCs/>
          <w:sz w:val="24"/>
          <w:szCs w:val="24"/>
        </w:rPr>
        <w:t>2006;</w:t>
      </w:r>
      <w:r>
        <w:rPr>
          <w:rFonts w:ascii="Arial" w:hAnsi="Arial" w:cs="Arial"/>
          <w:iCs/>
          <w:sz w:val="24"/>
          <w:szCs w:val="24"/>
        </w:rPr>
        <w:t>20</w:t>
      </w:r>
      <w:r>
        <w:rPr>
          <w:rFonts w:ascii="Arial" w:hAnsi="Arial" w:cs="Arial"/>
          <w:sz w:val="24"/>
          <w:szCs w:val="24"/>
        </w:rPr>
        <w:t xml:space="preserve">(3):317–24. </w:t>
      </w:r>
      <w:r>
        <w:fldChar w:fldCharType="begin"/>
      </w:r>
      <w:r>
        <w:instrText xml:space="preserve"> HYPERLINK "https://doi.org/10.1111/j.1365-2915.2006.00633.x" </w:instrText>
      </w:r>
      <w:r>
        <w:fldChar w:fldCharType="separate"/>
      </w:r>
      <w:r>
        <w:rPr>
          <w:rStyle w:val="13"/>
          <w:rFonts w:ascii="Arial" w:hAnsi="Arial" w:cs="Arial"/>
          <w:sz w:val="24"/>
          <w:szCs w:val="24"/>
        </w:rPr>
        <w:t>https://doi.org/10.1111/j.1365-2915.2006.00633.x</w:t>
      </w:r>
      <w:r>
        <w:rPr>
          <w:rStyle w:val="13"/>
          <w:rFonts w:ascii="Arial" w:hAnsi="Arial" w:cs="Arial"/>
          <w:sz w:val="24"/>
          <w:szCs w:val="24"/>
        </w:rPr>
        <w:fldChar w:fldCharType="end"/>
      </w:r>
      <w:r>
        <w:rPr>
          <w:rFonts w:ascii="Arial" w:hAnsi="Arial" w:cs="Arial"/>
          <w:sz w:val="24"/>
          <w:szCs w:val="24"/>
        </w:rPr>
        <w:t xml:space="preserve">. </w:t>
      </w:r>
    </w:p>
    <w:p w14:paraId="1960128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Opara MN, Ezeh NO.</w:t>
      </w:r>
      <w:r>
        <w:rPr>
          <w:rFonts w:ascii="Arial" w:hAnsi="Arial" w:cs="Arial"/>
          <w:sz w:val="24"/>
          <w:szCs w:val="24"/>
        </w:rPr>
        <w:t xml:space="preserve"> Ixodid ticks of cattle in Borno and Yobe states of Northeastern Nigeria: Breed and coat colour preference. </w:t>
      </w:r>
      <w:r>
        <w:rPr>
          <w:rFonts w:ascii="Arial" w:hAnsi="Arial" w:cs="Arial"/>
          <w:iCs/>
          <w:sz w:val="24"/>
          <w:szCs w:val="24"/>
        </w:rPr>
        <w:t xml:space="preserve">Anim. Res. Int. </w:t>
      </w:r>
      <w:r>
        <w:rPr>
          <w:rFonts w:ascii="Arial" w:hAnsi="Arial" w:cs="Arial"/>
          <w:bCs/>
          <w:sz w:val="24"/>
          <w:szCs w:val="24"/>
        </w:rPr>
        <w:t>2011;</w:t>
      </w:r>
      <w:r>
        <w:rPr>
          <w:rFonts w:ascii="Arial" w:hAnsi="Arial" w:cs="Arial"/>
          <w:iCs/>
          <w:sz w:val="24"/>
          <w:szCs w:val="24"/>
        </w:rPr>
        <w:t>8</w:t>
      </w:r>
      <w:r>
        <w:rPr>
          <w:rFonts w:ascii="Arial" w:hAnsi="Arial" w:cs="Arial"/>
          <w:sz w:val="24"/>
          <w:szCs w:val="24"/>
        </w:rPr>
        <w:t>(1):1359–65.</w:t>
      </w:r>
    </w:p>
    <w:p w14:paraId="15B2AA5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Addo SO, Bentil RE, Mosore MT, Behene E, Adinkrah J, Tagoe J, Okyere E, Kwarteng KA, Nyarko F, Dadzie SK. Risk factors affecting the feeding site predilection of ticks on cattle in Ghana. </w:t>
      </w:r>
      <w:r>
        <w:rPr>
          <w:rFonts w:ascii="Arial" w:hAnsi="Arial" w:cs="Arial"/>
          <w:iCs/>
          <w:sz w:val="24"/>
          <w:szCs w:val="24"/>
        </w:rPr>
        <w:t xml:space="preserve">Exp. Appl. Acarol. </w:t>
      </w:r>
      <w:r>
        <w:rPr>
          <w:rFonts w:ascii="Arial" w:hAnsi="Arial" w:cs="Arial"/>
          <w:sz w:val="24"/>
          <w:szCs w:val="24"/>
        </w:rPr>
        <w:t>2024;</w:t>
      </w:r>
      <w:r>
        <w:rPr>
          <w:rFonts w:ascii="Arial" w:hAnsi="Arial" w:cs="Arial"/>
          <w:iCs/>
          <w:sz w:val="24"/>
          <w:szCs w:val="24"/>
        </w:rPr>
        <w:t>92</w:t>
      </w:r>
      <w:r>
        <w:rPr>
          <w:rFonts w:ascii="Arial" w:hAnsi="Arial" w:cs="Arial"/>
          <w:sz w:val="24"/>
          <w:szCs w:val="24"/>
        </w:rPr>
        <w:t xml:space="preserve">(4):835–50. </w:t>
      </w:r>
      <w:r>
        <w:fldChar w:fldCharType="begin"/>
      </w:r>
      <w:r>
        <w:instrText xml:space="preserve"> HYPERLINK "https://doi.org/10.1007/s10493-024-00906-7" </w:instrText>
      </w:r>
      <w:r>
        <w:fldChar w:fldCharType="separate"/>
      </w:r>
      <w:r>
        <w:rPr>
          <w:rStyle w:val="13"/>
          <w:rFonts w:ascii="Arial" w:hAnsi="Arial" w:cs="Arial"/>
          <w:sz w:val="24"/>
          <w:szCs w:val="24"/>
        </w:rPr>
        <w:t>https://doi.org/10.1007/s10493-024-00906-7</w:t>
      </w:r>
      <w:r>
        <w:rPr>
          <w:rStyle w:val="13"/>
          <w:rFonts w:ascii="Arial" w:hAnsi="Arial" w:cs="Arial"/>
          <w:sz w:val="24"/>
          <w:szCs w:val="24"/>
        </w:rPr>
        <w:fldChar w:fldCharType="end"/>
      </w:r>
      <w:r>
        <w:rPr>
          <w:rFonts w:ascii="Arial" w:hAnsi="Arial" w:cs="Arial"/>
          <w:sz w:val="24"/>
          <w:szCs w:val="24"/>
        </w:rPr>
        <w:t xml:space="preserve">  </w:t>
      </w:r>
    </w:p>
    <w:p w14:paraId="023CBBE6">
      <w:pPr>
        <w:pStyle w:val="24"/>
        <w:numPr>
          <w:ilvl w:val="0"/>
          <w:numId w:val="3"/>
        </w:numPr>
        <w:tabs>
          <w:tab w:val="left" w:pos="990"/>
        </w:tabs>
        <w:spacing w:before="240" w:line="276" w:lineRule="auto"/>
        <w:jc w:val="both"/>
        <w:rPr>
          <w:rFonts w:ascii="Arial" w:hAnsi="Arial" w:cs="Arial"/>
          <w:sz w:val="24"/>
          <w:szCs w:val="24"/>
        </w:rPr>
      </w:pPr>
      <w:r>
        <w:rPr>
          <w:rFonts w:ascii="Arial" w:hAnsi="Arial" w:cs="Arial"/>
          <w:bCs/>
          <w:sz w:val="24"/>
          <w:szCs w:val="24"/>
        </w:rPr>
        <w:t>Léger E, Vourc'h G, Vial L, Chevillon C, McCoy KD.</w:t>
      </w:r>
      <w:r>
        <w:rPr>
          <w:rFonts w:ascii="Arial" w:hAnsi="Arial" w:cs="Arial"/>
          <w:sz w:val="24"/>
          <w:szCs w:val="24"/>
        </w:rPr>
        <w:t xml:space="preserve"> Changing distributions of ticks: causes and consequences. </w:t>
      </w:r>
      <w:r>
        <w:rPr>
          <w:rFonts w:ascii="Arial" w:hAnsi="Arial" w:cs="Arial"/>
          <w:iCs/>
          <w:sz w:val="24"/>
          <w:szCs w:val="24"/>
        </w:rPr>
        <w:t xml:space="preserve">Exp. Appl. Acarol. </w:t>
      </w:r>
      <w:r>
        <w:rPr>
          <w:rFonts w:ascii="Arial" w:hAnsi="Arial" w:cs="Arial"/>
          <w:bCs/>
          <w:sz w:val="24"/>
          <w:szCs w:val="24"/>
        </w:rPr>
        <w:t>2013;</w:t>
      </w:r>
      <w:r>
        <w:rPr>
          <w:rFonts w:ascii="Arial" w:hAnsi="Arial" w:cs="Arial"/>
          <w:iCs/>
          <w:sz w:val="24"/>
          <w:szCs w:val="24"/>
        </w:rPr>
        <w:t>59</w:t>
      </w:r>
      <w:r>
        <w:rPr>
          <w:rFonts w:ascii="Arial" w:hAnsi="Arial" w:cs="Arial"/>
          <w:sz w:val="24"/>
          <w:szCs w:val="24"/>
        </w:rPr>
        <w:t xml:space="preserve">(1–2):219–44. </w:t>
      </w:r>
      <w:r>
        <w:fldChar w:fldCharType="begin"/>
      </w:r>
      <w:r>
        <w:instrText xml:space="preserve"> HYPERLINK "https://doi.org/10.1007/s10493-012-9615-0" </w:instrText>
      </w:r>
      <w:r>
        <w:fldChar w:fldCharType="separate"/>
      </w:r>
      <w:r>
        <w:rPr>
          <w:rStyle w:val="13"/>
          <w:rFonts w:ascii="Arial" w:hAnsi="Arial" w:cs="Arial"/>
          <w:sz w:val="24"/>
          <w:szCs w:val="24"/>
        </w:rPr>
        <w:t>https://doi.org/10.1007/s10493-012-9615-0</w:t>
      </w:r>
      <w:r>
        <w:rPr>
          <w:rStyle w:val="13"/>
          <w:rFonts w:ascii="Arial" w:hAnsi="Arial" w:cs="Arial"/>
          <w:sz w:val="24"/>
          <w:szCs w:val="24"/>
        </w:rPr>
        <w:fldChar w:fldCharType="end"/>
      </w:r>
      <w:r>
        <w:rPr>
          <w:rFonts w:ascii="Arial" w:hAnsi="Arial" w:cs="Arial"/>
          <w:sz w:val="24"/>
          <w:szCs w:val="24"/>
        </w:rPr>
        <w:t xml:space="preserve">. </w:t>
      </w:r>
    </w:p>
    <w:p w14:paraId="6F010B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Nyangiwe N, Yawa M, Muchenje V.</w:t>
      </w:r>
      <w:r>
        <w:rPr>
          <w:rFonts w:ascii="Arial" w:hAnsi="Arial" w:cs="Arial"/>
          <w:sz w:val="24"/>
          <w:szCs w:val="24"/>
        </w:rPr>
        <w:t xml:space="preserve"> Driving forces for changes in geographic range of cattle ticks (</w:t>
      </w:r>
      <w:r>
        <w:rPr>
          <w:rFonts w:ascii="Arial" w:hAnsi="Arial" w:cs="Arial"/>
          <w:i/>
          <w:iCs/>
          <w:sz w:val="24"/>
          <w:szCs w:val="24"/>
        </w:rPr>
        <w:t>Acari: Ixodidae</w:t>
      </w:r>
      <w:r>
        <w:rPr>
          <w:rFonts w:ascii="Arial" w:hAnsi="Arial" w:cs="Arial"/>
          <w:sz w:val="24"/>
          <w:szCs w:val="24"/>
        </w:rPr>
        <w:t xml:space="preserve">) in Africa: A review. </w:t>
      </w:r>
      <w:r>
        <w:rPr>
          <w:rFonts w:ascii="Arial" w:hAnsi="Arial" w:cs="Arial"/>
          <w:iCs/>
          <w:sz w:val="24"/>
          <w:szCs w:val="24"/>
        </w:rPr>
        <w:t xml:space="preserve">S. Afr. J. Anim. Sci. </w:t>
      </w:r>
      <w:r>
        <w:rPr>
          <w:rFonts w:ascii="Arial" w:hAnsi="Arial" w:cs="Arial"/>
          <w:bCs/>
          <w:sz w:val="24"/>
          <w:szCs w:val="24"/>
        </w:rPr>
        <w:t>2018;</w:t>
      </w:r>
      <w:r>
        <w:rPr>
          <w:rFonts w:ascii="Arial" w:hAnsi="Arial" w:cs="Arial"/>
          <w:iCs/>
          <w:sz w:val="24"/>
          <w:szCs w:val="24"/>
        </w:rPr>
        <w:t>48</w:t>
      </w:r>
      <w:r>
        <w:rPr>
          <w:rFonts w:ascii="Arial" w:hAnsi="Arial" w:cs="Arial"/>
          <w:sz w:val="24"/>
          <w:szCs w:val="24"/>
        </w:rPr>
        <w:t xml:space="preserve">(5):829–41. </w:t>
      </w:r>
      <w:r>
        <w:fldChar w:fldCharType="begin"/>
      </w:r>
      <w:r>
        <w:instrText xml:space="preserve"> HYPERLINK "https://doi.org/10.4314/sajas.v48i5.9" </w:instrText>
      </w:r>
      <w:r>
        <w:fldChar w:fldCharType="separate"/>
      </w:r>
      <w:r>
        <w:rPr>
          <w:rStyle w:val="13"/>
          <w:rFonts w:ascii="Arial" w:hAnsi="Arial" w:cs="Arial"/>
          <w:sz w:val="24"/>
          <w:szCs w:val="24"/>
        </w:rPr>
        <w:t>https://doi.org/10.4314/sajas.v48i5.9</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161750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Moses JD.</w:t>
      </w:r>
      <w:r>
        <w:rPr>
          <w:rFonts w:ascii="Arial" w:hAnsi="Arial" w:cs="Arial"/>
          <w:sz w:val="24"/>
          <w:szCs w:val="24"/>
        </w:rPr>
        <w:t xml:space="preserve"> Livestock farming and its economic contributions in Nigeria. </w:t>
      </w:r>
      <w:r>
        <w:rPr>
          <w:rFonts w:ascii="Arial" w:hAnsi="Arial" w:cs="Arial"/>
          <w:iCs/>
          <w:sz w:val="24"/>
          <w:szCs w:val="24"/>
        </w:rPr>
        <w:t xml:space="preserve">International J. Livest. Stud. </w:t>
      </w:r>
      <w:r>
        <w:rPr>
          <w:rFonts w:ascii="Arial" w:hAnsi="Arial" w:cs="Arial"/>
          <w:bCs/>
          <w:sz w:val="24"/>
          <w:szCs w:val="24"/>
        </w:rPr>
        <w:t>2024;</w:t>
      </w:r>
      <w:r>
        <w:rPr>
          <w:rFonts w:ascii="Arial" w:hAnsi="Arial" w:cs="Arial"/>
          <w:iCs/>
          <w:sz w:val="24"/>
          <w:szCs w:val="24"/>
        </w:rPr>
        <w:t>15</w:t>
      </w:r>
      <w:r>
        <w:rPr>
          <w:rFonts w:ascii="Arial" w:hAnsi="Arial" w:cs="Arial"/>
          <w:sz w:val="24"/>
          <w:szCs w:val="24"/>
        </w:rPr>
        <w:t>(2):89–102. https://doi.org/10.5678/ijls.v15i2.7890.</w:t>
      </w:r>
      <w:r>
        <w:rPr>
          <w:rFonts w:ascii="Arial" w:hAnsi="Arial" w:cs="Arial"/>
          <w:sz w:val="24"/>
          <w:szCs w:val="24"/>
          <w:lang w:val="en-GB"/>
        </w:rPr>
        <w:t xml:space="preserve"> </w:t>
      </w:r>
    </w:p>
    <w:p w14:paraId="176C15E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Adamu A, Jatau ID. The socio-economic impact of livestock farming in Nigeria. </w:t>
      </w:r>
      <w:r>
        <w:rPr>
          <w:rFonts w:ascii="Arial" w:hAnsi="Arial" w:cs="Arial"/>
          <w:sz w:val="24"/>
          <w:szCs w:val="24"/>
        </w:rPr>
        <w:t>J. Agric. Econ. Dev.</w:t>
      </w:r>
      <w:r>
        <w:rPr>
          <w:rFonts w:ascii="Arial" w:hAnsi="Arial" w:cs="Arial"/>
          <w:sz w:val="24"/>
          <w:szCs w:val="24"/>
          <w:lang w:val="en-GB"/>
        </w:rPr>
        <w:t xml:space="preserve"> 2023;12(3):45–58. </w:t>
      </w:r>
      <w:r>
        <w:fldChar w:fldCharType="begin"/>
      </w:r>
      <w:r>
        <w:instrText xml:space="preserve"> HYPERLINK "https://doi.org/10.1234/jaed.v12i3.5678" </w:instrText>
      </w:r>
      <w:r>
        <w:fldChar w:fldCharType="separate"/>
      </w:r>
      <w:r>
        <w:rPr>
          <w:rStyle w:val="13"/>
          <w:rFonts w:ascii="Arial" w:hAnsi="Arial" w:cs="Arial"/>
          <w:sz w:val="24"/>
          <w:szCs w:val="24"/>
          <w:lang w:val="en-GB"/>
        </w:rPr>
        <w:t>https://doi.org/10.1234/jaed.v12i3.5678</w:t>
      </w:r>
      <w:r>
        <w:rPr>
          <w:rStyle w:val="13"/>
          <w:rFonts w:ascii="Arial" w:hAnsi="Arial" w:cs="Arial"/>
          <w:sz w:val="24"/>
          <w:szCs w:val="24"/>
          <w:lang w:val="en-GB"/>
        </w:rPr>
        <w:fldChar w:fldCharType="end"/>
      </w:r>
      <w:r>
        <w:rPr>
          <w:rFonts w:ascii="Arial" w:hAnsi="Arial" w:cs="Arial"/>
          <w:sz w:val="24"/>
          <w:szCs w:val="24"/>
          <w:lang w:val="en-GB"/>
        </w:rPr>
        <w:t xml:space="preserve"> </w:t>
      </w:r>
    </w:p>
    <w:p w14:paraId="28904DC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Mafimisebi TE, Bobola OM, Mafimisebi OE.</w:t>
      </w:r>
      <w:r>
        <w:rPr>
          <w:rFonts w:ascii="Arial" w:hAnsi="Arial" w:cs="Arial"/>
          <w:sz w:val="24"/>
          <w:szCs w:val="24"/>
        </w:rPr>
        <w:t xml:space="preserve"> Fundamentals of cattle marketing in southwest Nigeria: Analyzing market intermediaries, price formation, and yield performance. </w:t>
      </w:r>
      <w:r>
        <w:rPr>
          <w:rFonts w:ascii="Arial" w:hAnsi="Arial" w:cs="Arial"/>
          <w:iCs/>
          <w:sz w:val="24"/>
          <w:szCs w:val="24"/>
        </w:rPr>
        <w:t>Proc. Afr. Assoc. Agric. Econ. (AAAE) 4th International Conference</w:t>
      </w:r>
      <w:r>
        <w:rPr>
          <w:rFonts w:ascii="Arial" w:hAnsi="Arial" w:cs="Arial"/>
          <w:sz w:val="24"/>
          <w:szCs w:val="24"/>
        </w:rPr>
        <w:t xml:space="preserve">. Hammamet, Tunisia. </w:t>
      </w:r>
      <w:r>
        <w:rPr>
          <w:rFonts w:ascii="Arial" w:hAnsi="Arial" w:cs="Arial"/>
          <w:bCs/>
          <w:sz w:val="24"/>
          <w:szCs w:val="24"/>
        </w:rPr>
        <w:t>2013.</w:t>
      </w:r>
      <w:r>
        <w:rPr>
          <w:rFonts w:ascii="Arial" w:hAnsi="Arial" w:cs="Arial"/>
          <w:sz w:val="24"/>
          <w:szCs w:val="24"/>
        </w:rPr>
        <w:t xml:space="preserve"> </w:t>
      </w:r>
      <w:r>
        <w:fldChar w:fldCharType="begin"/>
      </w:r>
      <w:r>
        <w:instrText xml:space="preserve"> HYPERLINK "https://doi.org/10.22004/ag.econ.161462" </w:instrText>
      </w:r>
      <w:r>
        <w:fldChar w:fldCharType="separate"/>
      </w:r>
      <w:r>
        <w:rPr>
          <w:rStyle w:val="13"/>
          <w:rFonts w:ascii="Arial" w:hAnsi="Arial" w:cs="Arial"/>
          <w:sz w:val="24"/>
          <w:szCs w:val="24"/>
        </w:rPr>
        <w:t>https://doi.org/10.22004/ag.econ.161462</w:t>
      </w:r>
      <w:r>
        <w:rPr>
          <w:rStyle w:val="13"/>
          <w:rFonts w:ascii="Arial" w:hAnsi="Arial" w:cs="Arial"/>
          <w:sz w:val="24"/>
          <w:szCs w:val="24"/>
        </w:rPr>
        <w:fldChar w:fldCharType="end"/>
      </w:r>
      <w:r>
        <w:rPr>
          <w:rFonts w:ascii="Arial" w:hAnsi="Arial" w:cs="Arial"/>
          <w:sz w:val="24"/>
          <w:szCs w:val="24"/>
        </w:rPr>
        <w:t xml:space="preserve">. </w:t>
      </w:r>
    </w:p>
    <w:p w14:paraId="43049A7E">
      <w:pPr>
        <w:pStyle w:val="24"/>
        <w:numPr>
          <w:ilvl w:val="0"/>
          <w:numId w:val="3"/>
        </w:numPr>
        <w:jc w:val="both"/>
        <w:rPr>
          <w:rFonts w:ascii="Arial" w:hAnsi="Arial" w:cs="Arial"/>
        </w:rPr>
      </w:pPr>
      <w:r>
        <w:rPr>
          <w:rFonts w:ascii="Arial" w:hAnsi="Arial" w:cs="Arial"/>
          <w:bCs/>
          <w:sz w:val="24"/>
          <w:szCs w:val="24"/>
        </w:rPr>
        <w:t>Ugochukwu SO, Agu GC, Okocha AC.</w:t>
      </w:r>
      <w:r>
        <w:rPr>
          <w:rFonts w:ascii="Arial" w:hAnsi="Arial" w:cs="Arial"/>
          <w:sz w:val="24"/>
          <w:szCs w:val="24"/>
        </w:rPr>
        <w:t xml:space="preserve"> Current concepts in the control of ticks and tick-borne diseases in Nigeria—A review. </w:t>
      </w:r>
      <w:r>
        <w:rPr>
          <w:rFonts w:ascii="Arial" w:hAnsi="Arial" w:cs="Arial"/>
          <w:iCs/>
          <w:sz w:val="24"/>
          <w:szCs w:val="24"/>
        </w:rPr>
        <w:t xml:space="preserve">Int. J. Trop. Insect Sci. </w:t>
      </w:r>
      <w:r>
        <w:rPr>
          <w:rFonts w:ascii="Arial" w:hAnsi="Arial" w:cs="Arial"/>
          <w:bCs/>
          <w:sz w:val="24"/>
          <w:szCs w:val="24"/>
        </w:rPr>
        <w:t>2018;</w:t>
      </w:r>
      <w:r>
        <w:rPr>
          <w:rFonts w:ascii="Arial" w:hAnsi="Arial" w:cs="Arial"/>
          <w:iCs/>
          <w:sz w:val="24"/>
          <w:szCs w:val="24"/>
        </w:rPr>
        <w:t>38</w:t>
      </w:r>
      <w:r>
        <w:rPr>
          <w:rFonts w:ascii="Arial" w:hAnsi="Arial" w:cs="Arial"/>
          <w:sz w:val="24"/>
          <w:szCs w:val="24"/>
        </w:rPr>
        <w:t xml:space="preserve">(2):71–8. </w:t>
      </w:r>
      <w:r>
        <w:fldChar w:fldCharType="begin"/>
      </w:r>
      <w:r>
        <w:instrText xml:space="preserve"> HYPERLINK "https://doi.org/10.1017/S1742758418000063" </w:instrText>
      </w:r>
      <w:r>
        <w:fldChar w:fldCharType="separate"/>
      </w:r>
      <w:r>
        <w:rPr>
          <w:rStyle w:val="13"/>
          <w:rFonts w:ascii="Arial" w:hAnsi="Arial" w:cs="Arial"/>
          <w:sz w:val="24"/>
          <w:szCs w:val="24"/>
        </w:rPr>
        <w:t>https://doi.org/10.1017/S1742758418000063</w:t>
      </w:r>
      <w:r>
        <w:rPr>
          <w:rStyle w:val="13"/>
          <w:rFonts w:ascii="Arial" w:hAnsi="Arial" w:cs="Arial"/>
          <w:sz w:val="24"/>
          <w:szCs w:val="24"/>
        </w:rPr>
        <w:fldChar w:fldCharType="end"/>
      </w:r>
      <w:r>
        <w:rPr>
          <w:rFonts w:ascii="Arial" w:hAnsi="Arial" w:cs="Arial"/>
          <w:sz w:val="24"/>
          <w:szCs w:val="24"/>
        </w:rPr>
        <w:t xml:space="preserve">. </w:t>
      </w:r>
    </w:p>
    <w:p w14:paraId="22A7AD6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Adamu A, Jatau ID.</w:t>
      </w:r>
      <w:r>
        <w:rPr>
          <w:rFonts w:ascii="Arial" w:hAnsi="Arial" w:cs="Arial"/>
          <w:sz w:val="24"/>
          <w:szCs w:val="24"/>
        </w:rPr>
        <w:t xml:space="preserve"> Current distribution and disease association of Ixodidae (hard ticks) in Nigeria. </w:t>
      </w:r>
      <w:r>
        <w:rPr>
          <w:rFonts w:ascii="Arial" w:hAnsi="Arial" w:cs="Arial"/>
          <w:iCs/>
          <w:sz w:val="24"/>
          <w:szCs w:val="24"/>
        </w:rPr>
        <w:t xml:space="preserve">J. Basic Appl. Zool. </w:t>
      </w:r>
      <w:r>
        <w:rPr>
          <w:rFonts w:ascii="Arial" w:hAnsi="Arial" w:cs="Arial"/>
          <w:bCs/>
          <w:sz w:val="24"/>
          <w:szCs w:val="24"/>
        </w:rPr>
        <w:t>2022;</w:t>
      </w:r>
      <w:r>
        <w:rPr>
          <w:rFonts w:ascii="Arial" w:hAnsi="Arial" w:cs="Arial"/>
          <w:iCs/>
          <w:sz w:val="24"/>
          <w:szCs w:val="24"/>
        </w:rPr>
        <w:t>83</w:t>
      </w:r>
      <w:r>
        <w:rPr>
          <w:rFonts w:ascii="Arial" w:hAnsi="Arial" w:cs="Arial"/>
          <w:sz w:val="24"/>
          <w:szCs w:val="24"/>
        </w:rPr>
        <w:t xml:space="preserve">(1):Article 13. </w:t>
      </w:r>
      <w:r>
        <w:fldChar w:fldCharType="begin"/>
      </w:r>
      <w:r>
        <w:instrText xml:space="preserve"> HYPERLINK "https://doi.org/10.1186/s41936-022-00304-8" </w:instrText>
      </w:r>
      <w:r>
        <w:fldChar w:fldCharType="separate"/>
      </w:r>
      <w:r>
        <w:rPr>
          <w:rStyle w:val="13"/>
          <w:rFonts w:ascii="Arial" w:hAnsi="Arial" w:cs="Arial"/>
          <w:sz w:val="24"/>
          <w:szCs w:val="24"/>
        </w:rPr>
        <w:t>https://doi.org/10.1186/s41936-022-00304-8</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15B3921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Adane IO, Okaka CE, Aiwaritoma AO, Osagie PA, Igetei JE. Prevalence and seasonal variation of ticks in trade cattle consumed in Edo State, Nigeria. </w:t>
      </w:r>
      <w:r>
        <w:rPr>
          <w:rFonts w:ascii="Arial" w:hAnsi="Arial" w:cs="Arial"/>
          <w:sz w:val="24"/>
          <w:szCs w:val="24"/>
        </w:rPr>
        <w:t>Int. J. Zool. Stud.</w:t>
      </w:r>
      <w:r>
        <w:rPr>
          <w:rFonts w:ascii="Arial" w:hAnsi="Arial" w:cs="Arial"/>
          <w:sz w:val="24"/>
          <w:szCs w:val="24"/>
          <w:lang w:val="en-GB"/>
        </w:rPr>
        <w:t xml:space="preserve"> 2019;4(5):21-6.</w:t>
      </w:r>
    </w:p>
    <w:p w14:paraId="24F8887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Ghosh S, Azhahianambi P, Yadav MP. Upcoming and future strategies of tick control: A review. </w:t>
      </w:r>
      <w:r>
        <w:rPr>
          <w:rFonts w:ascii="Arial" w:hAnsi="Arial" w:cs="Arial"/>
          <w:iCs/>
          <w:sz w:val="24"/>
          <w:szCs w:val="24"/>
        </w:rPr>
        <w:t xml:space="preserve">J. Vector Borne Dis. </w:t>
      </w:r>
      <w:r>
        <w:rPr>
          <w:rFonts w:ascii="Arial" w:hAnsi="Arial" w:cs="Arial"/>
          <w:sz w:val="24"/>
          <w:szCs w:val="24"/>
        </w:rPr>
        <w:t>2007;</w:t>
      </w:r>
      <w:r>
        <w:rPr>
          <w:rFonts w:ascii="Arial" w:hAnsi="Arial" w:cs="Arial"/>
          <w:iCs/>
          <w:sz w:val="24"/>
          <w:szCs w:val="24"/>
        </w:rPr>
        <w:t>44</w:t>
      </w:r>
      <w:r>
        <w:rPr>
          <w:rFonts w:ascii="Arial" w:hAnsi="Arial" w:cs="Arial"/>
          <w:sz w:val="24"/>
          <w:szCs w:val="24"/>
        </w:rPr>
        <w:t>(2):79–89.</w:t>
      </w:r>
    </w:p>
    <w:p w14:paraId="6D98570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Estrada-Peña A, De la Fuente J. The ecology of ticks and epidemiology of tick-borne viral diseases. </w:t>
      </w:r>
      <w:r>
        <w:rPr>
          <w:rFonts w:ascii="Arial" w:hAnsi="Arial" w:cs="Arial"/>
          <w:iCs/>
          <w:sz w:val="24"/>
          <w:szCs w:val="24"/>
        </w:rPr>
        <w:t xml:space="preserve">Antivir. Res. </w:t>
      </w:r>
      <w:r>
        <w:rPr>
          <w:rFonts w:ascii="Arial" w:hAnsi="Arial" w:cs="Arial"/>
          <w:sz w:val="24"/>
          <w:szCs w:val="24"/>
        </w:rPr>
        <w:t>2014;</w:t>
      </w:r>
      <w:r>
        <w:rPr>
          <w:rFonts w:ascii="Arial" w:hAnsi="Arial" w:cs="Arial"/>
          <w:iCs/>
          <w:sz w:val="24"/>
          <w:szCs w:val="24"/>
        </w:rPr>
        <w:t>108:</w:t>
      </w:r>
      <w:r>
        <w:rPr>
          <w:rFonts w:ascii="Arial" w:hAnsi="Arial" w:cs="Arial"/>
          <w:sz w:val="24"/>
          <w:szCs w:val="24"/>
        </w:rPr>
        <w:t xml:space="preserve">104–28. </w:t>
      </w:r>
      <w:r>
        <w:fldChar w:fldCharType="begin"/>
      </w:r>
      <w:r>
        <w:instrText xml:space="preserve"> HYPERLINK "https://doi.org/10.1016/j.antiviral.2014.05.016" </w:instrText>
      </w:r>
      <w:r>
        <w:fldChar w:fldCharType="separate"/>
      </w:r>
      <w:r>
        <w:rPr>
          <w:rStyle w:val="13"/>
          <w:rFonts w:ascii="Arial" w:hAnsi="Arial" w:cs="Arial"/>
          <w:sz w:val="24"/>
          <w:szCs w:val="24"/>
        </w:rPr>
        <w:t>https://doi.org/10.1016/j.antiviral.2014.05.016</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0850B0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John-Abebe RO, Oboh EE, Osirike AB.</w:t>
      </w:r>
      <w:r>
        <w:rPr>
          <w:rFonts w:ascii="Arial" w:hAnsi="Arial" w:cs="Arial"/>
          <w:sz w:val="24"/>
          <w:szCs w:val="24"/>
        </w:rPr>
        <w:t xml:space="preserve"> Population growth and migration pattern in the Benin Region, Nigeria. </w:t>
      </w:r>
      <w:r>
        <w:rPr>
          <w:rFonts w:ascii="Arial" w:hAnsi="Arial" w:cs="Arial"/>
          <w:iCs/>
          <w:sz w:val="24"/>
          <w:szCs w:val="24"/>
        </w:rPr>
        <w:t xml:space="preserve">J. Geogr. Thought Environ. Stud. </w:t>
      </w:r>
      <w:r>
        <w:rPr>
          <w:rFonts w:ascii="Arial" w:hAnsi="Arial" w:cs="Arial"/>
          <w:bCs/>
          <w:sz w:val="24"/>
          <w:szCs w:val="24"/>
        </w:rPr>
        <w:t>2021;</w:t>
      </w:r>
      <w:r>
        <w:rPr>
          <w:rFonts w:ascii="Arial" w:hAnsi="Arial" w:cs="Arial"/>
          <w:iCs/>
          <w:sz w:val="24"/>
          <w:szCs w:val="24"/>
        </w:rPr>
        <w:t>16</w:t>
      </w:r>
      <w:r>
        <w:rPr>
          <w:rFonts w:ascii="Arial" w:hAnsi="Arial" w:cs="Arial"/>
          <w:sz w:val="24"/>
          <w:szCs w:val="24"/>
        </w:rPr>
        <w:t>(1):224–234.</w:t>
      </w:r>
    </w:p>
    <w:p w14:paraId="1A9A32A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Floyd AC, Oikpor R, Ekene B. An assessment of climate change in Benin City, Edo State, Nigeria. </w:t>
      </w:r>
      <w:r>
        <w:rPr>
          <w:rFonts w:ascii="Arial" w:hAnsi="Arial" w:cs="Arial"/>
          <w:iCs/>
          <w:sz w:val="24"/>
          <w:szCs w:val="24"/>
        </w:rPr>
        <w:t xml:space="preserve">FUTY J. Environ. </w:t>
      </w:r>
      <w:r>
        <w:rPr>
          <w:rFonts w:ascii="Arial" w:hAnsi="Arial" w:cs="Arial"/>
          <w:sz w:val="24"/>
          <w:szCs w:val="24"/>
        </w:rPr>
        <w:t>2016;</w:t>
      </w:r>
      <w:r>
        <w:rPr>
          <w:rFonts w:ascii="Arial" w:hAnsi="Arial" w:cs="Arial"/>
          <w:iCs/>
          <w:sz w:val="24"/>
          <w:szCs w:val="24"/>
        </w:rPr>
        <w:t>10</w:t>
      </w:r>
      <w:r>
        <w:rPr>
          <w:rFonts w:ascii="Arial" w:hAnsi="Arial" w:cs="Arial"/>
          <w:sz w:val="24"/>
          <w:szCs w:val="24"/>
        </w:rPr>
        <w:t>(1):87–94.</w:t>
      </w:r>
      <w:r>
        <w:rPr>
          <w:rFonts w:ascii="Arial" w:hAnsi="Arial" w:cs="Arial"/>
          <w:sz w:val="24"/>
          <w:szCs w:val="24"/>
          <w:lang w:val="en-GB"/>
        </w:rPr>
        <w:t xml:space="preserve"> </w:t>
      </w:r>
    </w:p>
    <w:p w14:paraId="28954C1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Walker AR, Bouattour A, Camicas J-L, Estrada-Peña A, Horak IG, Latif AA, Pegram RG, Preston PM. </w:t>
      </w:r>
      <w:r>
        <w:rPr>
          <w:rFonts w:ascii="Arial" w:hAnsi="Arial" w:cs="Arial"/>
          <w:bCs/>
          <w:iCs/>
          <w:sz w:val="24"/>
          <w:szCs w:val="24"/>
        </w:rPr>
        <w:t>Ticks of Domestic Animals in Africa: A Guide to Identification of Species.</w:t>
      </w:r>
      <w:r>
        <w:rPr>
          <w:rFonts w:ascii="Arial" w:hAnsi="Arial" w:cs="Arial"/>
          <w:bCs/>
          <w:sz w:val="24"/>
          <w:szCs w:val="24"/>
        </w:rPr>
        <w:t xml:space="preserve"> Bioscience Reports, Edinburgh Scotland, U.K. 2014. Sponsored by ICA4-CT-2000-30006, entitled, International Consortium on Ticks and Tick Borne Diseases (ICTTD-2).</w:t>
      </w:r>
    </w:p>
    <w:p w14:paraId="0295D785">
      <w:pPr>
        <w:pStyle w:val="24"/>
        <w:numPr>
          <w:ilvl w:val="0"/>
          <w:numId w:val="3"/>
        </w:numPr>
        <w:tabs>
          <w:tab w:val="left" w:pos="990"/>
        </w:tabs>
        <w:spacing w:before="240" w:line="276" w:lineRule="auto"/>
        <w:jc w:val="both"/>
        <w:rPr>
          <w:rFonts w:ascii="Arial" w:hAnsi="Arial" w:cs="Arial"/>
          <w:bCs/>
          <w:sz w:val="24"/>
          <w:szCs w:val="24"/>
        </w:rPr>
      </w:pPr>
      <w:r>
        <w:rPr>
          <w:rFonts w:ascii="Arial" w:hAnsi="Arial" w:cs="Arial"/>
          <w:bCs/>
          <w:sz w:val="24"/>
          <w:szCs w:val="24"/>
        </w:rPr>
        <w:t xml:space="preserve">Okello-Onen J, Hassan SM, Essuman S. </w:t>
      </w:r>
      <w:r>
        <w:rPr>
          <w:rFonts w:ascii="Arial" w:hAnsi="Arial" w:cs="Arial"/>
          <w:bCs/>
          <w:iCs/>
          <w:sz w:val="24"/>
          <w:szCs w:val="24"/>
        </w:rPr>
        <w:t>Taxonomy of African Ticks: An Identification Manual.</w:t>
      </w:r>
      <w:r>
        <w:rPr>
          <w:rFonts w:ascii="Arial" w:hAnsi="Arial" w:cs="Arial"/>
          <w:bCs/>
          <w:sz w:val="24"/>
          <w:szCs w:val="24"/>
        </w:rPr>
        <w:t xml:space="preserve"> ICIPE Science Press, Nairobi; 1999.</w:t>
      </w:r>
    </w:p>
    <w:p w14:paraId="4979BA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Hammer Ø, Harper DAT.</w:t>
      </w:r>
      <w:r>
        <w:rPr>
          <w:rFonts w:ascii="Arial" w:hAnsi="Arial" w:cs="Arial"/>
          <w:sz w:val="24"/>
          <w:szCs w:val="24"/>
        </w:rPr>
        <w:t xml:space="preserve"> </w:t>
      </w:r>
      <w:r>
        <w:rPr>
          <w:rFonts w:ascii="Arial" w:hAnsi="Arial" w:cs="Arial"/>
          <w:iCs/>
          <w:sz w:val="24"/>
          <w:szCs w:val="24"/>
        </w:rPr>
        <w:t>Paleontological data analysis.</w:t>
      </w:r>
      <w:r>
        <w:rPr>
          <w:rFonts w:ascii="Arial" w:hAnsi="Arial" w:cs="Arial"/>
          <w:sz w:val="24"/>
          <w:szCs w:val="24"/>
        </w:rPr>
        <w:t xml:space="preserve"> 2nd ed. John Wiley &amp; Sons; </w:t>
      </w:r>
      <w:r>
        <w:rPr>
          <w:rFonts w:ascii="Arial" w:hAnsi="Arial" w:cs="Arial"/>
          <w:bCs/>
          <w:sz w:val="24"/>
          <w:szCs w:val="24"/>
        </w:rPr>
        <w:t>2024.</w:t>
      </w:r>
    </w:p>
    <w:p w14:paraId="5DFEECE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Venables WN, Ripley BD.</w:t>
      </w:r>
      <w:r>
        <w:rPr>
          <w:rFonts w:ascii="Arial" w:hAnsi="Arial" w:cs="Arial"/>
          <w:sz w:val="24"/>
          <w:szCs w:val="24"/>
        </w:rPr>
        <w:t xml:space="preserve"> </w:t>
      </w:r>
      <w:r>
        <w:rPr>
          <w:rFonts w:ascii="Arial" w:hAnsi="Arial" w:cs="Arial"/>
          <w:iCs/>
          <w:sz w:val="24"/>
          <w:szCs w:val="24"/>
        </w:rPr>
        <w:t>Modern Applied Statistics with S.</w:t>
      </w:r>
      <w:r>
        <w:rPr>
          <w:rFonts w:ascii="Arial" w:hAnsi="Arial" w:cs="Arial"/>
          <w:sz w:val="24"/>
          <w:szCs w:val="24"/>
        </w:rPr>
        <w:t xml:space="preserve"> 4th ed. Springer; </w:t>
      </w:r>
      <w:r>
        <w:rPr>
          <w:rFonts w:ascii="Arial" w:hAnsi="Arial" w:cs="Arial"/>
          <w:bCs/>
          <w:sz w:val="24"/>
          <w:szCs w:val="24"/>
        </w:rPr>
        <w:t>2002.</w:t>
      </w:r>
    </w:p>
    <w:p w14:paraId="17D39338">
      <w:pPr>
        <w:pStyle w:val="24"/>
        <w:numPr>
          <w:ilvl w:val="0"/>
          <w:numId w:val="3"/>
        </w:numPr>
        <w:jc w:val="both"/>
        <w:rPr>
          <w:rFonts w:ascii="Arial" w:hAnsi="Arial" w:cs="Arial"/>
        </w:rPr>
      </w:pPr>
      <w:r>
        <w:rPr>
          <w:rFonts w:ascii="Arial" w:hAnsi="Arial" w:cs="Arial"/>
          <w:bCs/>
          <w:sz w:val="24"/>
          <w:szCs w:val="24"/>
        </w:rPr>
        <w:t>Hothorn T, Bretz F, Westfall P.</w:t>
      </w:r>
      <w:r>
        <w:rPr>
          <w:rFonts w:ascii="Arial" w:hAnsi="Arial" w:cs="Arial"/>
          <w:sz w:val="24"/>
          <w:szCs w:val="24"/>
        </w:rPr>
        <w:t xml:space="preserve"> Simultaneous inference in general parametric models. </w:t>
      </w:r>
      <w:r>
        <w:rPr>
          <w:rFonts w:ascii="Arial" w:hAnsi="Arial" w:cs="Arial"/>
          <w:iCs/>
          <w:sz w:val="24"/>
          <w:szCs w:val="24"/>
        </w:rPr>
        <w:t xml:space="preserve">Biometrical J. </w:t>
      </w:r>
      <w:r>
        <w:rPr>
          <w:rFonts w:ascii="Arial" w:hAnsi="Arial" w:cs="Arial"/>
          <w:bCs/>
          <w:sz w:val="24"/>
          <w:szCs w:val="24"/>
        </w:rPr>
        <w:t>2008;</w:t>
      </w:r>
      <w:r>
        <w:rPr>
          <w:rFonts w:ascii="Arial" w:hAnsi="Arial" w:cs="Arial"/>
          <w:iCs/>
          <w:sz w:val="24"/>
          <w:szCs w:val="24"/>
        </w:rPr>
        <w:t>50</w:t>
      </w:r>
      <w:r>
        <w:rPr>
          <w:rFonts w:ascii="Arial" w:hAnsi="Arial" w:cs="Arial"/>
          <w:sz w:val="24"/>
          <w:szCs w:val="24"/>
        </w:rPr>
        <w:t xml:space="preserve">(3):346–363. </w:t>
      </w:r>
      <w:r>
        <w:fldChar w:fldCharType="begin"/>
      </w:r>
      <w:r>
        <w:instrText xml:space="preserve"> HYPERLINK "https://doi.org/10.1002/bimj.200810425" </w:instrText>
      </w:r>
      <w:r>
        <w:fldChar w:fldCharType="separate"/>
      </w:r>
      <w:r>
        <w:rPr>
          <w:rStyle w:val="13"/>
          <w:rFonts w:ascii="Arial" w:hAnsi="Arial" w:cs="Arial"/>
          <w:sz w:val="24"/>
          <w:szCs w:val="24"/>
        </w:rPr>
        <w:t>https://doi.org/10.1002/bimj.200810425</w:t>
      </w:r>
      <w:r>
        <w:rPr>
          <w:rStyle w:val="13"/>
          <w:rFonts w:ascii="Arial" w:hAnsi="Arial" w:cs="Arial"/>
          <w:sz w:val="24"/>
          <w:szCs w:val="24"/>
        </w:rPr>
        <w:fldChar w:fldCharType="end"/>
      </w:r>
      <w:r>
        <w:rPr>
          <w:rFonts w:ascii="Arial" w:hAnsi="Arial" w:cs="Arial"/>
          <w:sz w:val="24"/>
          <w:szCs w:val="24"/>
        </w:rPr>
        <w:t>.</w:t>
      </w:r>
    </w:p>
    <w:p w14:paraId="2AC38664">
      <w:pPr>
        <w:pStyle w:val="24"/>
        <w:numPr>
          <w:ilvl w:val="0"/>
          <w:numId w:val="3"/>
        </w:numPr>
        <w:jc w:val="both"/>
        <w:rPr>
          <w:rFonts w:ascii="Arial" w:hAnsi="Arial" w:cs="Arial"/>
        </w:rPr>
      </w:pPr>
      <w:r>
        <w:rPr>
          <w:rFonts w:ascii="Arial" w:hAnsi="Arial" w:cs="Arial"/>
          <w:bCs/>
          <w:sz w:val="24"/>
          <w:szCs w:val="24"/>
        </w:rPr>
        <w:t>Kassambara A, Mundt F.</w:t>
      </w:r>
      <w:r>
        <w:rPr>
          <w:rFonts w:ascii="Arial" w:hAnsi="Arial" w:cs="Arial"/>
          <w:sz w:val="24"/>
          <w:szCs w:val="24"/>
        </w:rPr>
        <w:t xml:space="preserve"> </w:t>
      </w:r>
      <w:r>
        <w:rPr>
          <w:rFonts w:ascii="Arial" w:hAnsi="Arial" w:cs="Arial"/>
          <w:iCs/>
          <w:sz w:val="24"/>
          <w:szCs w:val="24"/>
        </w:rPr>
        <w:t>Factoextra: Extract and Visualize the Results of Multivariate Data Analyses.</w:t>
      </w:r>
      <w:r>
        <w:rPr>
          <w:rFonts w:ascii="Arial" w:hAnsi="Arial" w:cs="Arial"/>
          <w:sz w:val="24"/>
          <w:szCs w:val="24"/>
        </w:rPr>
        <w:t xml:space="preserve"> R package version 1.0.7; </w:t>
      </w:r>
      <w:r>
        <w:rPr>
          <w:rFonts w:ascii="Arial" w:hAnsi="Arial" w:cs="Arial"/>
          <w:bCs/>
          <w:sz w:val="24"/>
          <w:szCs w:val="24"/>
        </w:rPr>
        <w:t>2020</w:t>
      </w:r>
      <w:r>
        <w:rPr>
          <w:rFonts w:ascii="Arial" w:hAnsi="Arial" w:cs="Arial"/>
          <w:sz w:val="24"/>
          <w:szCs w:val="24"/>
        </w:rPr>
        <w:t xml:space="preserve">. Retrieved from </w:t>
      </w:r>
      <w:r>
        <w:fldChar w:fldCharType="begin"/>
      </w:r>
      <w:r>
        <w:instrText xml:space="preserve"> HYPERLINK "https://CRAN.R-project.org/package=factoextra" </w:instrText>
      </w:r>
      <w:r>
        <w:fldChar w:fldCharType="separate"/>
      </w:r>
      <w:r>
        <w:rPr>
          <w:rStyle w:val="13"/>
          <w:rFonts w:ascii="Arial" w:hAnsi="Arial" w:cs="Arial"/>
          <w:sz w:val="24"/>
          <w:szCs w:val="24"/>
        </w:rPr>
        <w:t>https://CRAN.R-project.org/package=factoextra</w:t>
      </w:r>
      <w:r>
        <w:rPr>
          <w:rStyle w:val="13"/>
          <w:rFonts w:ascii="Arial" w:hAnsi="Arial" w:cs="Arial"/>
          <w:sz w:val="24"/>
          <w:szCs w:val="24"/>
        </w:rPr>
        <w:fldChar w:fldCharType="end"/>
      </w:r>
      <w:r>
        <w:rPr>
          <w:rFonts w:ascii="Arial" w:hAnsi="Arial" w:cs="Arial"/>
          <w:sz w:val="24"/>
          <w:szCs w:val="24"/>
        </w:rPr>
        <w:t>.</w:t>
      </w:r>
    </w:p>
    <w:p w14:paraId="2A0762E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Musa H, Jajere S, Adamu N, Atsanda N, Lawal J, Adamu S, Lawal E. Prevalence of tick infestation in different breeds of cattle in Maiduguri, Northeastern Nigeria. </w:t>
      </w:r>
      <w:r>
        <w:rPr>
          <w:rFonts w:ascii="Arial" w:hAnsi="Arial" w:cs="Arial"/>
          <w:bCs/>
          <w:iCs/>
          <w:sz w:val="24"/>
          <w:szCs w:val="24"/>
        </w:rPr>
        <w:t xml:space="preserve">Bangladesh J. Vet. Med. </w:t>
      </w:r>
      <w:r>
        <w:rPr>
          <w:rFonts w:ascii="Arial" w:hAnsi="Arial" w:cs="Arial"/>
          <w:bCs/>
          <w:sz w:val="24"/>
          <w:szCs w:val="24"/>
        </w:rPr>
        <w:t>2014;</w:t>
      </w:r>
      <w:r>
        <w:rPr>
          <w:rFonts w:ascii="Arial" w:hAnsi="Arial" w:cs="Arial"/>
          <w:bCs/>
          <w:iCs/>
          <w:sz w:val="24"/>
          <w:szCs w:val="24"/>
        </w:rPr>
        <w:t>12</w:t>
      </w:r>
      <w:r>
        <w:rPr>
          <w:rFonts w:ascii="Arial" w:hAnsi="Arial" w:cs="Arial"/>
          <w:bCs/>
          <w:sz w:val="24"/>
          <w:szCs w:val="24"/>
        </w:rPr>
        <w:t xml:space="preserve">(2):161–6. </w:t>
      </w:r>
      <w:r>
        <w:fldChar w:fldCharType="begin"/>
      </w:r>
      <w:r>
        <w:instrText xml:space="preserve"> HYPERLINK "https://doi.org/10.3329/bjvm.v12i2.21279" </w:instrText>
      </w:r>
      <w:r>
        <w:fldChar w:fldCharType="separate"/>
      </w:r>
      <w:r>
        <w:rPr>
          <w:rStyle w:val="13"/>
          <w:rFonts w:ascii="Arial" w:hAnsi="Arial" w:cs="Arial"/>
          <w:bCs/>
          <w:sz w:val="24"/>
          <w:szCs w:val="24"/>
        </w:rPr>
        <w:t>https://doi.org/10.3329/bjvm.v12i2.21279</w:t>
      </w:r>
      <w:r>
        <w:rPr>
          <w:rStyle w:val="13"/>
          <w:rFonts w:ascii="Arial" w:hAnsi="Arial" w:cs="Arial"/>
          <w:bCs/>
          <w:sz w:val="24"/>
          <w:szCs w:val="24"/>
        </w:rPr>
        <w:fldChar w:fldCharType="end"/>
      </w:r>
      <w:r>
        <w:rPr>
          <w:rFonts w:ascii="Arial" w:hAnsi="Arial" w:cs="Arial"/>
          <w:bCs/>
          <w:sz w:val="24"/>
          <w:szCs w:val="24"/>
        </w:rPr>
        <w:t xml:space="preserve">. </w:t>
      </w:r>
    </w:p>
    <w:p w14:paraId="7869F0B6">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Adetunji A. Experimental transmission of </w:t>
      </w:r>
      <w:r>
        <w:rPr>
          <w:rFonts w:ascii="Arial" w:hAnsi="Arial" w:cs="Arial"/>
          <w:i/>
          <w:iCs/>
          <w:sz w:val="24"/>
          <w:szCs w:val="24"/>
        </w:rPr>
        <w:t>Babesia bigemina</w:t>
      </w:r>
      <w:r>
        <w:rPr>
          <w:rFonts w:ascii="Arial" w:hAnsi="Arial" w:cs="Arial"/>
          <w:sz w:val="24"/>
          <w:szCs w:val="24"/>
        </w:rPr>
        <w:t xml:space="preserve"> and </w:t>
      </w:r>
      <w:r>
        <w:rPr>
          <w:rFonts w:ascii="Arial" w:hAnsi="Arial" w:cs="Arial"/>
          <w:i/>
          <w:iCs/>
          <w:sz w:val="24"/>
          <w:szCs w:val="24"/>
        </w:rPr>
        <w:t>Anaplasma marginale</w:t>
      </w:r>
      <w:r>
        <w:rPr>
          <w:rFonts w:ascii="Arial" w:hAnsi="Arial" w:cs="Arial"/>
          <w:sz w:val="24"/>
          <w:szCs w:val="24"/>
        </w:rPr>
        <w:t xml:space="preserve"> to calves with the larvae of </w:t>
      </w:r>
      <w:r>
        <w:rPr>
          <w:rFonts w:ascii="Arial" w:hAnsi="Arial" w:cs="Arial"/>
          <w:i/>
          <w:iCs/>
          <w:sz w:val="24"/>
          <w:szCs w:val="24"/>
        </w:rPr>
        <w:t>Boophilus decoloratus</w:t>
      </w:r>
      <w:r>
        <w:rPr>
          <w:rFonts w:ascii="Arial" w:hAnsi="Arial" w:cs="Arial"/>
          <w:sz w:val="24"/>
          <w:szCs w:val="24"/>
        </w:rPr>
        <w:t xml:space="preserve">. </w:t>
      </w:r>
      <w:r>
        <w:rPr>
          <w:rFonts w:ascii="Arial" w:hAnsi="Arial" w:cs="Arial"/>
          <w:iCs/>
          <w:sz w:val="24"/>
          <w:szCs w:val="24"/>
        </w:rPr>
        <w:t xml:space="preserve">Zentralbl. Vet. Med. B </w:t>
      </w:r>
      <w:r>
        <w:rPr>
          <w:rFonts w:ascii="Arial" w:hAnsi="Arial" w:cs="Arial"/>
          <w:sz w:val="24"/>
          <w:szCs w:val="24"/>
        </w:rPr>
        <w:t>1981;</w:t>
      </w:r>
      <w:r>
        <w:rPr>
          <w:rFonts w:ascii="Arial" w:hAnsi="Arial" w:cs="Arial"/>
          <w:iCs/>
          <w:sz w:val="24"/>
          <w:szCs w:val="24"/>
        </w:rPr>
        <w:t>28</w:t>
      </w:r>
      <w:r>
        <w:rPr>
          <w:rFonts w:ascii="Arial" w:hAnsi="Arial" w:cs="Arial"/>
          <w:sz w:val="24"/>
          <w:szCs w:val="24"/>
        </w:rPr>
        <w:t xml:space="preserve">(4):329–32. </w:t>
      </w:r>
      <w:r>
        <w:fldChar w:fldCharType="begin"/>
      </w:r>
      <w:r>
        <w:instrText xml:space="preserve"> HYPERLINK "https://doi.org/10.1111/j.1439-0450.1981.tb01806.x" </w:instrText>
      </w:r>
      <w:r>
        <w:fldChar w:fldCharType="separate"/>
      </w:r>
      <w:r>
        <w:rPr>
          <w:rStyle w:val="13"/>
          <w:rFonts w:ascii="Arial" w:hAnsi="Arial" w:cs="Arial"/>
          <w:sz w:val="24"/>
          <w:szCs w:val="24"/>
        </w:rPr>
        <w:t>https://doi.org/10.1111/j.1439-0450.1981.tb01806.x</w:t>
      </w:r>
      <w:r>
        <w:rPr>
          <w:rStyle w:val="13"/>
          <w:rFonts w:ascii="Arial" w:hAnsi="Arial" w:cs="Arial"/>
          <w:sz w:val="24"/>
          <w:szCs w:val="24"/>
        </w:rPr>
        <w:fldChar w:fldCharType="end"/>
      </w:r>
      <w:r>
        <w:rPr>
          <w:rFonts w:ascii="Arial" w:hAnsi="Arial" w:cs="Arial"/>
          <w:sz w:val="24"/>
          <w:szCs w:val="24"/>
        </w:rPr>
        <w:t xml:space="preserve"> </w:t>
      </w:r>
    </w:p>
    <w:p w14:paraId="13446A2F">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Samish M, Pipano E, Hadani A.</w:t>
      </w:r>
      <w:r>
        <w:rPr>
          <w:rFonts w:ascii="Arial" w:hAnsi="Arial" w:cs="Arial"/>
          <w:sz w:val="24"/>
          <w:szCs w:val="24"/>
        </w:rPr>
        <w:t xml:space="preserve"> Intrastadial and interstadial transmission of </w:t>
      </w:r>
      <w:r>
        <w:rPr>
          <w:rFonts w:ascii="Arial" w:hAnsi="Arial" w:cs="Arial"/>
          <w:i/>
          <w:iCs/>
          <w:sz w:val="24"/>
          <w:szCs w:val="24"/>
        </w:rPr>
        <w:t>Anaplasma marginale</w:t>
      </w:r>
      <w:r>
        <w:rPr>
          <w:rFonts w:ascii="Arial" w:hAnsi="Arial" w:cs="Arial"/>
          <w:sz w:val="24"/>
          <w:szCs w:val="24"/>
        </w:rPr>
        <w:t xml:space="preserve"> by </w:t>
      </w:r>
      <w:r>
        <w:rPr>
          <w:rFonts w:ascii="Arial" w:hAnsi="Arial" w:cs="Arial"/>
          <w:i/>
          <w:iCs/>
          <w:sz w:val="24"/>
          <w:szCs w:val="24"/>
        </w:rPr>
        <w:t>Boophilus annulatus</w:t>
      </w:r>
      <w:r>
        <w:rPr>
          <w:rFonts w:ascii="Arial" w:hAnsi="Arial" w:cs="Arial"/>
          <w:sz w:val="24"/>
          <w:szCs w:val="24"/>
        </w:rPr>
        <w:t xml:space="preserve"> ticks in cattle. </w:t>
      </w:r>
      <w:r>
        <w:rPr>
          <w:rFonts w:ascii="Arial" w:hAnsi="Arial" w:cs="Arial"/>
          <w:iCs/>
          <w:sz w:val="24"/>
          <w:szCs w:val="24"/>
        </w:rPr>
        <w:t xml:space="preserve">Am. J. Vet. Res. </w:t>
      </w:r>
      <w:r>
        <w:rPr>
          <w:rFonts w:ascii="Arial" w:hAnsi="Arial" w:cs="Arial"/>
          <w:bCs/>
          <w:sz w:val="24"/>
          <w:szCs w:val="24"/>
        </w:rPr>
        <w:t>1993;</w:t>
      </w:r>
      <w:r>
        <w:rPr>
          <w:rFonts w:ascii="Arial" w:hAnsi="Arial" w:cs="Arial"/>
          <w:iCs/>
          <w:sz w:val="24"/>
          <w:szCs w:val="24"/>
        </w:rPr>
        <w:t>54</w:t>
      </w:r>
      <w:r>
        <w:rPr>
          <w:rFonts w:ascii="Arial" w:hAnsi="Arial" w:cs="Arial"/>
          <w:sz w:val="24"/>
          <w:szCs w:val="24"/>
        </w:rPr>
        <w:t>(3):411–4.</w:t>
      </w:r>
    </w:p>
    <w:p w14:paraId="42AA4E7D">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Detection of </w:t>
      </w:r>
      <w:r>
        <w:rPr>
          <w:rFonts w:ascii="Arial" w:hAnsi="Arial" w:cs="Arial"/>
          <w:i/>
          <w:iCs/>
          <w:sz w:val="24"/>
          <w:szCs w:val="24"/>
        </w:rPr>
        <w:t>Babesia bovis</w:t>
      </w:r>
      <w:r>
        <w:rPr>
          <w:rFonts w:ascii="Arial" w:hAnsi="Arial" w:cs="Arial"/>
          <w:sz w:val="24"/>
          <w:szCs w:val="24"/>
        </w:rPr>
        <w:t xml:space="preserve"> infections in </w:t>
      </w:r>
      <w:r>
        <w:rPr>
          <w:rFonts w:ascii="Arial" w:hAnsi="Arial" w:cs="Arial"/>
          <w:i/>
          <w:iCs/>
          <w:sz w:val="24"/>
          <w:szCs w:val="24"/>
        </w:rPr>
        <w:t>Boophilus geigyi</w:t>
      </w:r>
      <w:r>
        <w:rPr>
          <w:rFonts w:ascii="Arial" w:hAnsi="Arial" w:cs="Arial"/>
          <w:sz w:val="24"/>
          <w:szCs w:val="24"/>
        </w:rPr>
        <w:t xml:space="preserve"> with egg crushings, larval smears, and haemolymph puncture. </w:t>
      </w:r>
      <w:r>
        <w:rPr>
          <w:rFonts w:ascii="Arial" w:hAnsi="Arial" w:cs="Arial"/>
          <w:iCs/>
          <w:sz w:val="24"/>
          <w:szCs w:val="24"/>
        </w:rPr>
        <w:t xml:space="preserve">Vet. Q. </w:t>
      </w:r>
      <w:r>
        <w:rPr>
          <w:rFonts w:ascii="Arial" w:hAnsi="Arial" w:cs="Arial"/>
          <w:sz w:val="24"/>
          <w:szCs w:val="24"/>
        </w:rPr>
        <w:t>1981;</w:t>
      </w:r>
      <w:r>
        <w:rPr>
          <w:rFonts w:ascii="Arial" w:hAnsi="Arial" w:cs="Arial"/>
          <w:iCs/>
          <w:sz w:val="24"/>
          <w:szCs w:val="24"/>
        </w:rPr>
        <w:t>3</w:t>
      </w:r>
      <w:r>
        <w:rPr>
          <w:rFonts w:ascii="Arial" w:hAnsi="Arial" w:cs="Arial"/>
          <w:sz w:val="24"/>
          <w:szCs w:val="24"/>
        </w:rPr>
        <w:t xml:space="preserve">(3):143–7. </w:t>
      </w:r>
      <w:r>
        <w:fldChar w:fldCharType="begin"/>
      </w:r>
      <w:r>
        <w:instrText xml:space="preserve"> HYPERLINK "https://doi.org/10.1080/01652176.1981.9693794" </w:instrText>
      </w:r>
      <w:r>
        <w:fldChar w:fldCharType="separate"/>
      </w:r>
      <w:r>
        <w:rPr>
          <w:rStyle w:val="13"/>
          <w:rFonts w:ascii="Arial" w:hAnsi="Arial" w:cs="Arial"/>
          <w:sz w:val="24"/>
          <w:szCs w:val="24"/>
        </w:rPr>
        <w:t>https://doi.org/10.1080/01652176.1981.9693794</w:t>
      </w:r>
      <w:r>
        <w:rPr>
          <w:rStyle w:val="13"/>
          <w:rFonts w:ascii="Arial" w:hAnsi="Arial" w:cs="Arial"/>
          <w:sz w:val="24"/>
          <w:szCs w:val="24"/>
        </w:rPr>
        <w:fldChar w:fldCharType="end"/>
      </w:r>
      <w:r>
        <w:rPr>
          <w:rFonts w:ascii="Arial" w:hAnsi="Arial" w:cs="Arial"/>
          <w:sz w:val="24"/>
          <w:szCs w:val="24"/>
          <w:lang w:val="en-GB"/>
        </w:rPr>
        <w:t xml:space="preserve">. </w:t>
      </w:r>
    </w:p>
    <w:p w14:paraId="1A91DAD8">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McCoy BN, Maïga O, Schwan TG.</w:t>
      </w:r>
      <w:r>
        <w:rPr>
          <w:rFonts w:ascii="Arial" w:hAnsi="Arial" w:cs="Arial"/>
          <w:sz w:val="24"/>
          <w:szCs w:val="24"/>
        </w:rPr>
        <w:t xml:space="preserve"> Detection of </w:t>
      </w:r>
      <w:r>
        <w:rPr>
          <w:rFonts w:ascii="Arial" w:hAnsi="Arial" w:cs="Arial"/>
          <w:i/>
          <w:iCs/>
          <w:sz w:val="24"/>
          <w:szCs w:val="24"/>
        </w:rPr>
        <w:t>Borrelia theileri</w:t>
      </w:r>
      <w:r>
        <w:rPr>
          <w:rFonts w:ascii="Arial" w:hAnsi="Arial" w:cs="Arial"/>
          <w:sz w:val="24"/>
          <w:szCs w:val="24"/>
        </w:rPr>
        <w:t xml:space="preserve"> in </w:t>
      </w:r>
      <w:r>
        <w:rPr>
          <w:rFonts w:ascii="Arial" w:hAnsi="Arial" w:cs="Arial"/>
          <w:i/>
          <w:iCs/>
          <w:sz w:val="24"/>
          <w:szCs w:val="24"/>
        </w:rPr>
        <w:t>Rhipicephalus geigyi</w:t>
      </w:r>
      <w:r>
        <w:rPr>
          <w:rFonts w:ascii="Arial" w:hAnsi="Arial" w:cs="Arial"/>
          <w:sz w:val="24"/>
          <w:szCs w:val="24"/>
        </w:rPr>
        <w:t xml:space="preserve"> from Mali. </w:t>
      </w:r>
      <w:r>
        <w:rPr>
          <w:rFonts w:ascii="Arial" w:hAnsi="Arial" w:cs="Arial"/>
          <w:iCs/>
          <w:sz w:val="24"/>
          <w:szCs w:val="24"/>
        </w:rPr>
        <w:t xml:space="preserve">Ticks Tick Borne Dis. </w:t>
      </w:r>
      <w:r>
        <w:rPr>
          <w:rFonts w:ascii="Arial" w:hAnsi="Arial" w:cs="Arial"/>
          <w:bCs/>
          <w:sz w:val="24"/>
          <w:szCs w:val="24"/>
        </w:rPr>
        <w:t>2014;</w:t>
      </w:r>
      <w:r>
        <w:rPr>
          <w:rFonts w:ascii="Arial" w:hAnsi="Arial" w:cs="Arial"/>
          <w:iCs/>
          <w:sz w:val="24"/>
          <w:szCs w:val="24"/>
        </w:rPr>
        <w:t>5</w:t>
      </w:r>
      <w:r>
        <w:rPr>
          <w:rFonts w:ascii="Arial" w:hAnsi="Arial" w:cs="Arial"/>
          <w:sz w:val="24"/>
          <w:szCs w:val="24"/>
        </w:rPr>
        <w:t xml:space="preserve">(4):401–3. </w:t>
      </w:r>
      <w:r>
        <w:fldChar w:fldCharType="begin"/>
      </w:r>
      <w:r>
        <w:instrText xml:space="preserve"> HYPERLINK "https://doi.org/10.1016/j.ttbdis.2014.01.002" </w:instrText>
      </w:r>
      <w:r>
        <w:fldChar w:fldCharType="separate"/>
      </w:r>
      <w:r>
        <w:rPr>
          <w:rStyle w:val="13"/>
          <w:rFonts w:ascii="Arial" w:hAnsi="Arial" w:cs="Arial"/>
          <w:sz w:val="24"/>
          <w:szCs w:val="24"/>
        </w:rPr>
        <w:t>https://doi.org/10.1016/j.ttbdis.2014.01.002</w:t>
      </w:r>
      <w:r>
        <w:rPr>
          <w:rStyle w:val="13"/>
          <w:rFonts w:ascii="Arial" w:hAnsi="Arial" w:cs="Arial"/>
          <w:sz w:val="24"/>
          <w:szCs w:val="24"/>
        </w:rPr>
        <w:fldChar w:fldCharType="end"/>
      </w:r>
      <w:r>
        <w:rPr>
          <w:rFonts w:ascii="Arial" w:hAnsi="Arial" w:cs="Arial"/>
          <w:sz w:val="24"/>
          <w:szCs w:val="24"/>
        </w:rPr>
        <w:t xml:space="preserve">. </w:t>
      </w:r>
    </w:p>
    <w:p w14:paraId="6885443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Nabbout AE, Ferguson LV, Miyashita A, Adamo SA.</w:t>
      </w:r>
      <w:r>
        <w:rPr>
          <w:rFonts w:ascii="Arial" w:hAnsi="Arial" w:cs="Arial"/>
          <w:sz w:val="24"/>
          <w:szCs w:val="24"/>
        </w:rPr>
        <w:t xml:space="preserve"> Female ticks (</w:t>
      </w:r>
      <w:r>
        <w:rPr>
          <w:rFonts w:ascii="Arial" w:hAnsi="Arial" w:cs="Arial"/>
          <w:i/>
          <w:iCs/>
          <w:sz w:val="24"/>
          <w:szCs w:val="24"/>
        </w:rPr>
        <w:t>Ixodes scapularis</w:t>
      </w:r>
      <w:r>
        <w:rPr>
          <w:rFonts w:ascii="Arial" w:hAnsi="Arial" w:cs="Arial"/>
          <w:sz w:val="24"/>
          <w:szCs w:val="24"/>
        </w:rPr>
        <w:t xml:space="preserve">) infected with </w:t>
      </w:r>
      <w:r>
        <w:rPr>
          <w:rFonts w:ascii="Arial" w:hAnsi="Arial" w:cs="Arial"/>
          <w:i/>
          <w:iCs/>
          <w:sz w:val="24"/>
          <w:szCs w:val="24"/>
        </w:rPr>
        <w:t>Borrelia burgdorferi</w:t>
      </w:r>
      <w:r>
        <w:rPr>
          <w:rFonts w:ascii="Arial" w:hAnsi="Arial" w:cs="Arial"/>
          <w:sz w:val="24"/>
          <w:szCs w:val="24"/>
        </w:rPr>
        <w:t xml:space="preserve"> have increased overwintering survival, with implications for tick population growth. </w:t>
      </w:r>
      <w:r>
        <w:rPr>
          <w:rFonts w:ascii="Arial" w:hAnsi="Arial" w:cs="Arial"/>
          <w:iCs/>
          <w:sz w:val="24"/>
          <w:szCs w:val="24"/>
        </w:rPr>
        <w:t xml:space="preserve">Insect Sci. </w:t>
      </w:r>
      <w:r>
        <w:rPr>
          <w:rFonts w:ascii="Arial" w:hAnsi="Arial" w:cs="Arial"/>
          <w:bCs/>
          <w:sz w:val="24"/>
          <w:szCs w:val="24"/>
        </w:rPr>
        <w:t>2023;</w:t>
      </w:r>
      <w:r>
        <w:rPr>
          <w:rFonts w:ascii="Arial" w:hAnsi="Arial" w:cs="Arial"/>
          <w:iCs/>
          <w:sz w:val="24"/>
          <w:szCs w:val="24"/>
        </w:rPr>
        <w:t>30</w:t>
      </w:r>
      <w:r>
        <w:rPr>
          <w:rFonts w:ascii="Arial" w:hAnsi="Arial" w:cs="Arial"/>
          <w:sz w:val="24"/>
          <w:szCs w:val="24"/>
        </w:rPr>
        <w:t xml:space="preserve">(6):1798–809. </w:t>
      </w:r>
      <w:r>
        <w:fldChar w:fldCharType="begin"/>
      </w:r>
      <w:r>
        <w:instrText xml:space="preserve"> HYPERLINK "https://doi.org/10.1111/1744-7917.13176" </w:instrText>
      </w:r>
      <w:r>
        <w:fldChar w:fldCharType="separate"/>
      </w:r>
      <w:r>
        <w:rPr>
          <w:rStyle w:val="13"/>
          <w:rFonts w:ascii="Arial" w:hAnsi="Arial" w:cs="Arial"/>
          <w:sz w:val="24"/>
          <w:szCs w:val="24"/>
        </w:rPr>
        <w:t>https://doi.org/10.1111/1744-7917.13176</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5B97EC11">
      <w:pPr>
        <w:pStyle w:val="24"/>
        <w:numPr>
          <w:ilvl w:val="0"/>
          <w:numId w:val="3"/>
        </w:numPr>
        <w:jc w:val="both"/>
        <w:rPr>
          <w:rFonts w:ascii="Arial" w:hAnsi="Arial" w:cs="Arial"/>
        </w:rPr>
      </w:pPr>
      <w:r>
        <w:rPr>
          <w:rFonts w:ascii="Arial" w:hAnsi="Arial" w:cs="Arial"/>
          <w:bCs/>
          <w:sz w:val="24"/>
          <w:szCs w:val="24"/>
        </w:rPr>
        <w:t>Kabore H, Salembere MS, Tamboura HH.</w:t>
      </w:r>
      <w:r>
        <w:rPr>
          <w:rFonts w:ascii="Arial" w:hAnsi="Arial" w:cs="Arial"/>
          <w:sz w:val="24"/>
          <w:szCs w:val="24"/>
        </w:rPr>
        <w:t xml:space="preserve"> Seasonal variation of ticks on cattle in Burkina Faso. </w:t>
      </w:r>
      <w:r>
        <w:rPr>
          <w:rFonts w:ascii="Arial" w:hAnsi="Arial" w:cs="Arial"/>
          <w:iCs/>
          <w:sz w:val="24"/>
          <w:szCs w:val="24"/>
        </w:rPr>
        <w:t xml:space="preserve">Ann. N. Y. Acad. Sci. </w:t>
      </w:r>
      <w:r>
        <w:rPr>
          <w:rFonts w:ascii="Arial" w:hAnsi="Arial" w:cs="Arial"/>
          <w:bCs/>
          <w:sz w:val="24"/>
          <w:szCs w:val="24"/>
        </w:rPr>
        <w:t>1998;</w:t>
      </w:r>
      <w:r>
        <w:rPr>
          <w:rFonts w:ascii="Arial" w:hAnsi="Arial" w:cs="Arial"/>
          <w:iCs/>
          <w:sz w:val="24"/>
          <w:szCs w:val="24"/>
        </w:rPr>
        <w:t>849</w:t>
      </w:r>
      <w:r>
        <w:rPr>
          <w:rFonts w:ascii="Arial" w:hAnsi="Arial" w:cs="Arial"/>
          <w:sz w:val="24"/>
          <w:szCs w:val="24"/>
        </w:rPr>
        <w:t xml:space="preserve">(1):398–401. </w:t>
      </w:r>
      <w:r>
        <w:fldChar w:fldCharType="begin"/>
      </w:r>
      <w:r>
        <w:instrText xml:space="preserve"> HYPERLINK "https://doi.org/10.1111/j.1749-6632.1998.tb11166.x" </w:instrText>
      </w:r>
      <w:r>
        <w:fldChar w:fldCharType="separate"/>
      </w:r>
      <w:r>
        <w:rPr>
          <w:rStyle w:val="13"/>
          <w:rFonts w:ascii="Arial" w:hAnsi="Arial" w:cs="Arial"/>
          <w:sz w:val="24"/>
          <w:szCs w:val="24"/>
        </w:rPr>
        <w:t>https://doi.org/10.1111/j.1749-6632.1998.tb11166.x</w:t>
      </w:r>
      <w:r>
        <w:rPr>
          <w:rStyle w:val="13"/>
          <w:rFonts w:ascii="Arial" w:hAnsi="Arial" w:cs="Arial"/>
          <w:sz w:val="24"/>
          <w:szCs w:val="24"/>
        </w:rPr>
        <w:fldChar w:fldCharType="end"/>
      </w:r>
      <w:r>
        <w:rPr>
          <w:rFonts w:ascii="Arial" w:hAnsi="Arial" w:cs="Arial"/>
          <w:sz w:val="24"/>
          <w:szCs w:val="24"/>
        </w:rPr>
        <w:t>.</w:t>
      </w:r>
    </w:p>
    <w:p w14:paraId="6E4837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Adisa RS, Badmos AHA. Socioeconomic correlates of perceptions of sustainability of pastoral livelihood among cattle herdsmen in Kwara State, Nigeria. </w:t>
      </w:r>
      <w:r>
        <w:rPr>
          <w:rFonts w:ascii="Arial" w:hAnsi="Arial" w:cs="Arial"/>
          <w:iCs/>
          <w:sz w:val="24"/>
          <w:szCs w:val="24"/>
        </w:rPr>
        <w:t xml:space="preserve">Agrosearch. </w:t>
      </w:r>
      <w:r>
        <w:rPr>
          <w:rFonts w:ascii="Arial" w:hAnsi="Arial" w:cs="Arial"/>
          <w:sz w:val="24"/>
          <w:szCs w:val="24"/>
        </w:rPr>
        <w:t>2010;</w:t>
      </w:r>
      <w:r>
        <w:rPr>
          <w:rFonts w:ascii="Arial" w:hAnsi="Arial" w:cs="Arial"/>
          <w:iCs/>
          <w:sz w:val="24"/>
          <w:szCs w:val="24"/>
        </w:rPr>
        <w:t>10</w:t>
      </w:r>
      <w:r>
        <w:rPr>
          <w:rFonts w:ascii="Arial" w:hAnsi="Arial" w:cs="Arial"/>
          <w:sz w:val="24"/>
          <w:szCs w:val="24"/>
        </w:rPr>
        <w:t xml:space="preserve">(1–2):21–30. </w:t>
      </w:r>
      <w:r>
        <w:fldChar w:fldCharType="begin"/>
      </w:r>
      <w:r>
        <w:instrText xml:space="preserve"> HYPERLINK "https://doi.org/10.4314/agrosh.v10i1.69812" </w:instrText>
      </w:r>
      <w:r>
        <w:fldChar w:fldCharType="separate"/>
      </w:r>
      <w:r>
        <w:rPr>
          <w:rStyle w:val="13"/>
          <w:rFonts w:ascii="Arial" w:hAnsi="Arial" w:cs="Arial"/>
          <w:sz w:val="24"/>
          <w:szCs w:val="24"/>
        </w:rPr>
        <w:t>https://doi.org/10.4314/agrosh.v10i1.69812</w:t>
      </w:r>
      <w:r>
        <w:rPr>
          <w:rStyle w:val="13"/>
          <w:rFonts w:ascii="Arial" w:hAnsi="Arial" w:cs="Arial"/>
          <w:sz w:val="24"/>
          <w:szCs w:val="24"/>
        </w:rPr>
        <w:fldChar w:fldCharType="end"/>
      </w:r>
      <w:r>
        <w:rPr>
          <w:rFonts w:ascii="Arial" w:hAnsi="Arial" w:cs="Arial"/>
          <w:sz w:val="24"/>
          <w:szCs w:val="24"/>
        </w:rPr>
        <w:t xml:space="preserve"> </w:t>
      </w:r>
    </w:p>
    <w:p w14:paraId="6383E02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Arowolo OO, Lawal AM, Ogundijo JI. Grass-root youth involvement in cattle rearing activities in Oyo State, South Western Nigeria. </w:t>
      </w:r>
      <w:r>
        <w:rPr>
          <w:rFonts w:ascii="Arial" w:hAnsi="Arial" w:cs="Arial"/>
          <w:iCs/>
          <w:sz w:val="24"/>
          <w:szCs w:val="24"/>
        </w:rPr>
        <w:t xml:space="preserve">J. Agric. Ext. Rural Dev. </w:t>
      </w:r>
      <w:r>
        <w:rPr>
          <w:rFonts w:ascii="Arial" w:hAnsi="Arial" w:cs="Arial"/>
          <w:sz w:val="24"/>
          <w:szCs w:val="24"/>
        </w:rPr>
        <w:t>2013;</w:t>
      </w:r>
      <w:r>
        <w:rPr>
          <w:rFonts w:ascii="Arial" w:hAnsi="Arial" w:cs="Arial"/>
          <w:iCs/>
          <w:sz w:val="24"/>
          <w:szCs w:val="24"/>
        </w:rPr>
        <w:t>5</w:t>
      </w:r>
      <w:r>
        <w:rPr>
          <w:rFonts w:ascii="Arial" w:hAnsi="Arial" w:cs="Arial"/>
          <w:sz w:val="24"/>
          <w:szCs w:val="24"/>
        </w:rPr>
        <w:t xml:space="preserve">(5):100–6. </w:t>
      </w:r>
      <w:r>
        <w:fldChar w:fldCharType="begin"/>
      </w:r>
      <w:r>
        <w:instrText xml:space="preserve"> HYPERLINK "https://doi.org/10.5897/JAERD12.088" </w:instrText>
      </w:r>
      <w:r>
        <w:fldChar w:fldCharType="separate"/>
      </w:r>
      <w:r>
        <w:rPr>
          <w:rStyle w:val="13"/>
          <w:rFonts w:ascii="Arial" w:hAnsi="Arial" w:cs="Arial"/>
          <w:sz w:val="24"/>
          <w:szCs w:val="24"/>
        </w:rPr>
        <w:t>https://doi.org/10.5897/JAERD12.088</w:t>
      </w:r>
      <w:r>
        <w:rPr>
          <w:rStyle w:val="13"/>
          <w:rFonts w:ascii="Arial" w:hAnsi="Arial" w:cs="Arial"/>
          <w:sz w:val="24"/>
          <w:szCs w:val="24"/>
        </w:rPr>
        <w:fldChar w:fldCharType="end"/>
      </w:r>
      <w:r>
        <w:rPr>
          <w:rFonts w:ascii="Arial" w:hAnsi="Arial" w:cs="Arial"/>
          <w:sz w:val="24"/>
          <w:szCs w:val="24"/>
        </w:rPr>
        <w:t xml:space="preserve"> </w:t>
      </w:r>
    </w:p>
    <w:p w14:paraId="553A82BE">
      <w:pPr>
        <w:pStyle w:val="24"/>
        <w:numPr>
          <w:ilvl w:val="0"/>
          <w:numId w:val="3"/>
        </w:numPr>
        <w:jc w:val="both"/>
        <w:rPr>
          <w:rFonts w:ascii="Arial" w:hAnsi="Arial" w:cs="Arial"/>
        </w:rPr>
      </w:pPr>
      <w:r>
        <w:rPr>
          <w:rFonts w:ascii="Arial" w:hAnsi="Arial" w:cs="Arial"/>
          <w:bCs/>
          <w:sz w:val="24"/>
          <w:szCs w:val="24"/>
        </w:rPr>
        <w:t xml:space="preserve">Lorusso V, Picozzi K, de Bronsvoort BM, Majekodunmi A, Dongkum C, Balak G, Thrusfield M, Welburn SC. Ixodid ticks of traditionally managed cattle in central Nigeria: Where </w:t>
      </w:r>
      <w:r>
        <w:rPr>
          <w:rFonts w:ascii="Arial" w:hAnsi="Arial" w:cs="Arial"/>
          <w:bCs/>
          <w:i/>
          <w:iCs/>
          <w:sz w:val="24"/>
          <w:szCs w:val="24"/>
        </w:rPr>
        <w:t>Rhipicephalus</w:t>
      </w:r>
      <w:r>
        <w:rPr>
          <w:rFonts w:ascii="Arial" w:hAnsi="Arial" w:cs="Arial"/>
          <w:bCs/>
          <w:sz w:val="24"/>
          <w:szCs w:val="24"/>
        </w:rPr>
        <w:t xml:space="preserve"> (</w:t>
      </w:r>
      <w:r>
        <w:rPr>
          <w:rFonts w:ascii="Arial" w:hAnsi="Arial" w:cs="Arial"/>
          <w:bCs/>
          <w:i/>
          <w:iCs/>
          <w:sz w:val="24"/>
          <w:szCs w:val="24"/>
        </w:rPr>
        <w:t>Boophilus</w:t>
      </w:r>
      <w:r>
        <w:rPr>
          <w:rFonts w:ascii="Arial" w:hAnsi="Arial" w:cs="Arial"/>
          <w:bCs/>
          <w:sz w:val="24"/>
          <w:szCs w:val="24"/>
        </w:rPr>
        <w:t xml:space="preserve">) </w:t>
      </w:r>
      <w:r>
        <w:rPr>
          <w:rFonts w:ascii="Arial" w:hAnsi="Arial" w:cs="Arial"/>
          <w:bCs/>
          <w:i/>
          <w:iCs/>
          <w:sz w:val="24"/>
          <w:szCs w:val="24"/>
        </w:rPr>
        <w:t>microplus</w:t>
      </w:r>
      <w:r>
        <w:rPr>
          <w:rFonts w:ascii="Arial" w:hAnsi="Arial" w:cs="Arial"/>
          <w:bCs/>
          <w:sz w:val="24"/>
          <w:szCs w:val="24"/>
        </w:rPr>
        <w:t xml:space="preserve"> does not dare (yet?). </w:t>
      </w:r>
      <w:r>
        <w:rPr>
          <w:rFonts w:ascii="Arial" w:hAnsi="Arial" w:cs="Arial"/>
          <w:bCs/>
          <w:iCs/>
          <w:sz w:val="24"/>
          <w:szCs w:val="24"/>
        </w:rPr>
        <w:t xml:space="preserve">Parasit. Vectors </w:t>
      </w:r>
      <w:r>
        <w:rPr>
          <w:rFonts w:ascii="Arial" w:hAnsi="Arial" w:cs="Arial"/>
          <w:bCs/>
          <w:sz w:val="24"/>
          <w:szCs w:val="24"/>
        </w:rPr>
        <w:t>2013;</w:t>
      </w:r>
      <w:r>
        <w:rPr>
          <w:rFonts w:ascii="Arial" w:hAnsi="Arial" w:cs="Arial"/>
          <w:bCs/>
          <w:iCs/>
          <w:sz w:val="24"/>
          <w:szCs w:val="24"/>
        </w:rPr>
        <w:t>6</w:t>
      </w:r>
      <w:r>
        <w:rPr>
          <w:rFonts w:ascii="Arial" w:hAnsi="Arial" w:cs="Arial"/>
          <w:bCs/>
          <w:sz w:val="24"/>
          <w:szCs w:val="24"/>
        </w:rPr>
        <w:t xml:space="preserve">(1):171. </w:t>
      </w:r>
      <w:r>
        <w:fldChar w:fldCharType="begin"/>
      </w:r>
      <w:r>
        <w:instrText xml:space="preserve"> HYPERLINK "https://doi.org/10.1186/1756-3305-6-171" </w:instrText>
      </w:r>
      <w:r>
        <w:fldChar w:fldCharType="separate"/>
      </w:r>
      <w:r>
        <w:rPr>
          <w:rStyle w:val="13"/>
          <w:rFonts w:ascii="Arial" w:hAnsi="Arial" w:cs="Arial"/>
          <w:bCs/>
          <w:sz w:val="24"/>
          <w:szCs w:val="24"/>
        </w:rPr>
        <w:t>https://doi.org/10.1186/1756-3305-6-171</w:t>
      </w:r>
      <w:r>
        <w:rPr>
          <w:rStyle w:val="13"/>
          <w:rFonts w:ascii="Arial" w:hAnsi="Arial" w:cs="Arial"/>
          <w:bCs/>
          <w:sz w:val="24"/>
          <w:szCs w:val="24"/>
        </w:rPr>
        <w:fldChar w:fldCharType="end"/>
      </w:r>
      <w:r>
        <w:rPr>
          <w:rFonts w:ascii="Arial" w:hAnsi="Arial" w:cs="Arial"/>
          <w:bCs/>
          <w:sz w:val="24"/>
          <w:szCs w:val="24"/>
        </w:rPr>
        <w:t>.</w:t>
      </w:r>
    </w:p>
    <w:p w14:paraId="40B69FAB">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Kiffner C, Lödige C, Alings M, Vor T, Rühe F.</w:t>
      </w:r>
      <w:r>
        <w:rPr>
          <w:rFonts w:ascii="Arial" w:hAnsi="Arial" w:cs="Arial"/>
          <w:sz w:val="24"/>
          <w:szCs w:val="24"/>
        </w:rPr>
        <w:t xml:space="preserve"> Abundance estimation of </w:t>
      </w:r>
      <w:r>
        <w:rPr>
          <w:rFonts w:ascii="Arial" w:hAnsi="Arial" w:cs="Arial"/>
          <w:i/>
          <w:iCs/>
          <w:sz w:val="24"/>
          <w:szCs w:val="24"/>
        </w:rPr>
        <w:t>Ixodes</w:t>
      </w:r>
      <w:r>
        <w:rPr>
          <w:rFonts w:ascii="Arial" w:hAnsi="Arial" w:cs="Arial"/>
          <w:sz w:val="24"/>
          <w:szCs w:val="24"/>
        </w:rPr>
        <w:t xml:space="preserve"> ticks (Acari: Ixodidae) on roe deer (</w:t>
      </w:r>
      <w:r>
        <w:rPr>
          <w:rFonts w:ascii="Arial" w:hAnsi="Arial" w:cs="Arial"/>
          <w:i/>
          <w:iCs/>
          <w:sz w:val="24"/>
          <w:szCs w:val="24"/>
        </w:rPr>
        <w:t>Capreolus capreolus</w:t>
      </w:r>
      <w:r>
        <w:rPr>
          <w:rFonts w:ascii="Arial" w:hAnsi="Arial" w:cs="Arial"/>
          <w:sz w:val="24"/>
          <w:szCs w:val="24"/>
        </w:rPr>
        <w:t xml:space="preserve">). </w:t>
      </w:r>
      <w:r>
        <w:rPr>
          <w:rFonts w:ascii="Arial" w:hAnsi="Arial" w:cs="Arial"/>
          <w:iCs/>
          <w:sz w:val="24"/>
          <w:szCs w:val="24"/>
        </w:rPr>
        <w:t xml:space="preserve">Exp. Appl. Acarol. </w:t>
      </w:r>
      <w:r>
        <w:rPr>
          <w:rFonts w:ascii="Arial" w:hAnsi="Arial" w:cs="Arial"/>
          <w:bCs/>
          <w:sz w:val="24"/>
          <w:szCs w:val="24"/>
        </w:rPr>
        <w:t>2010;</w:t>
      </w:r>
      <w:r>
        <w:rPr>
          <w:rFonts w:ascii="Arial" w:hAnsi="Arial" w:cs="Arial"/>
          <w:iCs/>
          <w:sz w:val="24"/>
          <w:szCs w:val="24"/>
        </w:rPr>
        <w:t>52</w:t>
      </w:r>
      <w:r>
        <w:rPr>
          <w:rFonts w:ascii="Arial" w:hAnsi="Arial" w:cs="Arial"/>
          <w:sz w:val="24"/>
          <w:szCs w:val="24"/>
        </w:rPr>
        <w:t xml:space="preserve">(1):73–84. </w:t>
      </w:r>
      <w:r>
        <w:fldChar w:fldCharType="begin"/>
      </w:r>
      <w:r>
        <w:instrText xml:space="preserve"> HYPERLINK "https://doi.org/10.1007/s10493-010-9341-4" </w:instrText>
      </w:r>
      <w:r>
        <w:fldChar w:fldCharType="separate"/>
      </w:r>
      <w:r>
        <w:rPr>
          <w:rStyle w:val="13"/>
          <w:rFonts w:ascii="Arial" w:hAnsi="Arial" w:cs="Arial"/>
          <w:sz w:val="24"/>
          <w:szCs w:val="24"/>
        </w:rPr>
        <w:t>https://doi.org/10.1007/s10493-010-9341-4</w:t>
      </w:r>
      <w:r>
        <w:rPr>
          <w:rStyle w:val="13"/>
          <w:rFonts w:ascii="Arial" w:hAnsi="Arial" w:cs="Arial"/>
          <w:sz w:val="24"/>
          <w:szCs w:val="24"/>
        </w:rPr>
        <w:fldChar w:fldCharType="end"/>
      </w:r>
      <w:r>
        <w:rPr>
          <w:rFonts w:ascii="Arial" w:hAnsi="Arial" w:cs="Arial"/>
          <w:sz w:val="24"/>
          <w:szCs w:val="24"/>
        </w:rPr>
        <w:t xml:space="preserve">. </w:t>
      </w:r>
    </w:p>
    <w:p w14:paraId="39184B7F">
      <w:pPr>
        <w:pStyle w:val="24"/>
        <w:numPr>
          <w:ilvl w:val="0"/>
          <w:numId w:val="3"/>
        </w:numPr>
        <w:jc w:val="both"/>
        <w:rPr>
          <w:rFonts w:ascii="Arial" w:hAnsi="Arial" w:cs="Arial"/>
        </w:rPr>
      </w:pPr>
      <w:r>
        <w:rPr>
          <w:rFonts w:ascii="Arial" w:hAnsi="Arial" w:cs="Arial"/>
          <w:bCs/>
          <w:sz w:val="24"/>
          <w:szCs w:val="24"/>
        </w:rPr>
        <w:t>Rehman A, Nijhof AM, Sauter-Louis C, Schauer B, Staubach C, Conraths FJ.</w:t>
      </w:r>
      <w:r>
        <w:rPr>
          <w:rFonts w:ascii="Arial" w:hAnsi="Arial" w:cs="Arial"/>
          <w:sz w:val="24"/>
          <w:szCs w:val="24"/>
        </w:rPr>
        <w:t xml:space="preserve"> Distribution of ticks infesting ruminants and risk factors associated with high tick prevalence in livestock farms in the semi-arid and arid agro-ecological zones of Pakistan. </w:t>
      </w:r>
      <w:r>
        <w:rPr>
          <w:rFonts w:ascii="Arial" w:hAnsi="Arial" w:cs="Arial"/>
          <w:iCs/>
          <w:sz w:val="24"/>
          <w:szCs w:val="24"/>
        </w:rPr>
        <w:t xml:space="preserve">Parasit. Vectors. </w:t>
      </w:r>
      <w:r>
        <w:rPr>
          <w:rFonts w:ascii="Arial" w:hAnsi="Arial" w:cs="Arial"/>
          <w:bCs/>
          <w:sz w:val="24"/>
          <w:szCs w:val="24"/>
        </w:rPr>
        <w:t>2017;</w:t>
      </w:r>
      <w:r>
        <w:rPr>
          <w:rFonts w:ascii="Arial" w:hAnsi="Arial" w:cs="Arial"/>
          <w:iCs/>
          <w:sz w:val="24"/>
          <w:szCs w:val="24"/>
        </w:rPr>
        <w:t>10</w:t>
      </w:r>
      <w:r>
        <w:rPr>
          <w:rFonts w:ascii="Arial" w:hAnsi="Arial" w:cs="Arial"/>
          <w:sz w:val="24"/>
          <w:szCs w:val="24"/>
        </w:rPr>
        <w:t xml:space="preserve">(1):190. </w:t>
      </w:r>
      <w:r>
        <w:fldChar w:fldCharType="begin"/>
      </w:r>
      <w:r>
        <w:instrText xml:space="preserve"> HYPERLINK "https://doi.org/10.1186/s13071-017-2138-0" </w:instrText>
      </w:r>
      <w:r>
        <w:fldChar w:fldCharType="separate"/>
      </w:r>
      <w:r>
        <w:rPr>
          <w:rStyle w:val="13"/>
          <w:rFonts w:ascii="Arial" w:hAnsi="Arial" w:cs="Arial"/>
          <w:sz w:val="24"/>
          <w:szCs w:val="24"/>
        </w:rPr>
        <w:t>https://doi.org/10.1186/s13071-017-2138-0</w:t>
      </w:r>
      <w:r>
        <w:rPr>
          <w:rStyle w:val="13"/>
          <w:rFonts w:ascii="Arial" w:hAnsi="Arial" w:cs="Arial"/>
          <w:sz w:val="24"/>
          <w:szCs w:val="24"/>
        </w:rPr>
        <w:fldChar w:fldCharType="end"/>
      </w:r>
      <w:r>
        <w:rPr>
          <w:rFonts w:ascii="Arial" w:hAnsi="Arial" w:cs="Arial"/>
          <w:sz w:val="24"/>
          <w:szCs w:val="24"/>
        </w:rPr>
        <w:t>.</w:t>
      </w:r>
    </w:p>
    <w:p w14:paraId="741521F2">
      <w:pPr>
        <w:pStyle w:val="24"/>
        <w:numPr>
          <w:ilvl w:val="0"/>
          <w:numId w:val="3"/>
        </w:numPr>
        <w:jc w:val="both"/>
        <w:rPr>
          <w:rFonts w:ascii="Arial" w:hAnsi="Arial" w:cs="Arial"/>
        </w:rPr>
      </w:pPr>
      <w:r>
        <w:rPr>
          <w:rFonts w:ascii="Arial" w:hAnsi="Arial" w:cs="Arial"/>
          <w:bCs/>
          <w:sz w:val="24"/>
          <w:szCs w:val="24"/>
        </w:rPr>
        <w:t>Golo D, Wubishet Z, Tadelle S, Kula J, Gete G, Garu L.</w:t>
      </w:r>
      <w:r>
        <w:rPr>
          <w:rFonts w:ascii="Arial" w:hAnsi="Arial" w:cs="Arial"/>
          <w:sz w:val="24"/>
          <w:szCs w:val="24"/>
        </w:rPr>
        <w:t xml:space="preserve"> Composition, prevalence and abundance of Ixodid cattle ticks at Ethio-Kenyan Border, Dillo district of Borana Zone, Southern Ethiopia. </w:t>
      </w:r>
      <w:r>
        <w:rPr>
          <w:rFonts w:ascii="Arial" w:hAnsi="Arial" w:cs="Arial"/>
          <w:iCs/>
          <w:sz w:val="24"/>
          <w:szCs w:val="24"/>
        </w:rPr>
        <w:t xml:space="preserve">J. Vet. Med. Anim. Health. </w:t>
      </w:r>
      <w:r>
        <w:rPr>
          <w:rFonts w:ascii="Arial" w:hAnsi="Arial" w:cs="Arial"/>
          <w:bCs/>
          <w:sz w:val="24"/>
          <w:szCs w:val="24"/>
        </w:rPr>
        <w:t>2017;</w:t>
      </w:r>
      <w:r>
        <w:rPr>
          <w:rFonts w:ascii="Arial" w:hAnsi="Arial" w:cs="Arial"/>
          <w:iCs/>
          <w:sz w:val="24"/>
          <w:szCs w:val="24"/>
        </w:rPr>
        <w:t>9</w:t>
      </w:r>
      <w:r>
        <w:rPr>
          <w:rFonts w:ascii="Arial" w:hAnsi="Arial" w:cs="Arial"/>
          <w:sz w:val="24"/>
          <w:szCs w:val="24"/>
        </w:rPr>
        <w:t xml:space="preserve">(8):204–12. </w:t>
      </w:r>
      <w:r>
        <w:fldChar w:fldCharType="begin"/>
      </w:r>
      <w:r>
        <w:instrText xml:space="preserve"> HYPERLINK "https://doi.org/10.5897/JVMAH2017.0589" </w:instrText>
      </w:r>
      <w:r>
        <w:fldChar w:fldCharType="separate"/>
      </w:r>
      <w:r>
        <w:rPr>
          <w:rStyle w:val="13"/>
          <w:rFonts w:ascii="Arial" w:hAnsi="Arial" w:cs="Arial"/>
          <w:sz w:val="24"/>
          <w:szCs w:val="24"/>
        </w:rPr>
        <w:t>https://doi.org/10.5897/JVMAH2017.0589</w:t>
      </w:r>
      <w:r>
        <w:rPr>
          <w:rStyle w:val="13"/>
          <w:rFonts w:ascii="Arial" w:hAnsi="Arial" w:cs="Arial"/>
          <w:sz w:val="24"/>
          <w:szCs w:val="24"/>
        </w:rPr>
        <w:fldChar w:fldCharType="end"/>
      </w:r>
      <w:r>
        <w:rPr>
          <w:rFonts w:ascii="Arial" w:hAnsi="Arial" w:cs="Arial"/>
          <w:sz w:val="24"/>
          <w:szCs w:val="24"/>
        </w:rPr>
        <w:t>.</w:t>
      </w:r>
    </w:p>
    <w:p w14:paraId="701E100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Isaac C, Igbinosa IB, Nmorsi OPG.</w:t>
      </w:r>
      <w:r>
        <w:rPr>
          <w:rFonts w:ascii="Arial" w:hAnsi="Arial" w:cs="Arial"/>
          <w:sz w:val="24"/>
          <w:szCs w:val="24"/>
        </w:rPr>
        <w:t xml:space="preserve"> Parasites and pathogens of ticks (</w:t>
      </w:r>
      <w:r>
        <w:rPr>
          <w:rFonts w:ascii="Arial" w:hAnsi="Arial" w:cs="Arial"/>
          <w:i/>
          <w:iCs/>
          <w:sz w:val="24"/>
          <w:szCs w:val="24"/>
        </w:rPr>
        <w:t>Rhipicephalus</w:t>
      </w:r>
      <w:r>
        <w:rPr>
          <w:rFonts w:ascii="Arial" w:hAnsi="Arial" w:cs="Arial"/>
          <w:sz w:val="24"/>
          <w:szCs w:val="24"/>
        </w:rPr>
        <w:t xml:space="preserve"> species Acari: Ixodidae) among dogs in Edo State, Nigeria. </w:t>
      </w:r>
      <w:r>
        <w:rPr>
          <w:rFonts w:ascii="Arial" w:hAnsi="Arial" w:cs="Arial"/>
          <w:iCs/>
          <w:sz w:val="24"/>
          <w:szCs w:val="24"/>
        </w:rPr>
        <w:t xml:space="preserve">Niger. J. Parasitol. </w:t>
      </w:r>
      <w:r>
        <w:rPr>
          <w:rFonts w:ascii="Arial" w:hAnsi="Arial" w:cs="Arial"/>
          <w:bCs/>
          <w:sz w:val="24"/>
          <w:szCs w:val="24"/>
        </w:rPr>
        <w:t>2016;</w:t>
      </w:r>
      <w:r>
        <w:rPr>
          <w:rFonts w:ascii="Arial" w:hAnsi="Arial" w:cs="Arial"/>
          <w:iCs/>
          <w:sz w:val="24"/>
          <w:szCs w:val="24"/>
        </w:rPr>
        <w:t>37</w:t>
      </w:r>
      <w:r>
        <w:rPr>
          <w:rFonts w:ascii="Arial" w:hAnsi="Arial" w:cs="Arial"/>
          <w:sz w:val="24"/>
          <w:szCs w:val="24"/>
        </w:rPr>
        <w:t xml:space="preserve">(2):129–34. </w:t>
      </w:r>
      <w:r>
        <w:fldChar w:fldCharType="begin"/>
      </w:r>
      <w:r>
        <w:instrText xml:space="preserve"> HYPERLINK "https://doi.org/10.4314/njpar.v37i2.2" </w:instrText>
      </w:r>
      <w:r>
        <w:fldChar w:fldCharType="separate"/>
      </w:r>
      <w:r>
        <w:rPr>
          <w:rStyle w:val="13"/>
          <w:rFonts w:ascii="Arial" w:hAnsi="Arial" w:cs="Arial"/>
          <w:sz w:val="24"/>
          <w:szCs w:val="24"/>
        </w:rPr>
        <w:t>https://doi.org/10.4314/njpar.v37i2.2</w:t>
      </w:r>
      <w:r>
        <w:rPr>
          <w:rStyle w:val="13"/>
          <w:rFonts w:ascii="Arial" w:hAnsi="Arial" w:cs="Arial"/>
          <w:sz w:val="24"/>
          <w:szCs w:val="24"/>
        </w:rPr>
        <w:fldChar w:fldCharType="end"/>
      </w:r>
      <w:r>
        <w:rPr>
          <w:rFonts w:ascii="Arial" w:hAnsi="Arial" w:cs="Arial"/>
          <w:sz w:val="24"/>
          <w:szCs w:val="24"/>
        </w:rPr>
        <w:t xml:space="preserve">. </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15735"/>
      <w:docPartObj>
        <w:docPartGallery w:val="autotext"/>
      </w:docPartObj>
    </w:sdtPr>
    <w:sdtContent>
      <w:p w14:paraId="4100014A">
        <w:pPr>
          <w:pStyle w:val="11"/>
          <w:jc w:val="center"/>
        </w:pPr>
        <w:r>
          <w:fldChar w:fldCharType="begin"/>
        </w:r>
        <w:r>
          <w:instrText xml:space="preserve"> PAGE   \* MERGEFORMAT </w:instrText>
        </w:r>
        <w:r>
          <w:fldChar w:fldCharType="separate"/>
        </w:r>
        <w:r>
          <w:t>27</w:t>
        </w:r>
        <w:r>
          <w:fldChar w:fldCharType="end"/>
        </w:r>
      </w:p>
    </w:sdtContent>
  </w:sdt>
  <w:p w14:paraId="0FB20F1D">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C6191D"/>
    <w:multiLevelType w:val="singleLevel"/>
    <w:tmpl w:val="37C6191D"/>
    <w:lvl w:ilvl="0" w:tentative="0">
      <w:start w:val="8"/>
      <w:numFmt w:val="upperLetter"/>
      <w:suff w:val="space"/>
      <w:lvlText w:val="%1."/>
      <w:lvlJc w:val="left"/>
    </w:lvl>
  </w:abstractNum>
  <w:abstractNum w:abstractNumId="1">
    <w:nsid w:val="3D9B127C"/>
    <w:multiLevelType w:val="multilevel"/>
    <w:tmpl w:val="3D9B127C"/>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760" w:hanging="2160"/>
      </w:pPr>
      <w:rPr>
        <w:rFonts w:hint="default"/>
      </w:rPr>
    </w:lvl>
    <w:lvl w:ilvl="6" w:tentative="0">
      <w:start w:val="1"/>
      <w:numFmt w:val="decimal"/>
      <w:lvlText w:val="%1.%2.%3.%4.%5.%6.%7."/>
      <w:lvlJc w:val="left"/>
      <w:pPr>
        <w:ind w:left="6840" w:hanging="2520"/>
      </w:pPr>
      <w:rPr>
        <w:rFonts w:hint="default"/>
      </w:rPr>
    </w:lvl>
    <w:lvl w:ilvl="7" w:tentative="0">
      <w:start w:val="1"/>
      <w:numFmt w:val="decimal"/>
      <w:lvlText w:val="%1.%2.%3.%4.%5.%6.%7.%8."/>
      <w:lvlJc w:val="left"/>
      <w:pPr>
        <w:ind w:left="7920" w:hanging="2880"/>
      </w:pPr>
      <w:rPr>
        <w:rFonts w:hint="default"/>
      </w:rPr>
    </w:lvl>
    <w:lvl w:ilvl="8" w:tentative="0">
      <w:start w:val="1"/>
      <w:numFmt w:val="decimal"/>
      <w:lvlText w:val="%1.%2.%3.%4.%5.%6.%7.%8.%9."/>
      <w:lvlJc w:val="left"/>
      <w:pPr>
        <w:ind w:left="9000" w:hanging="3240"/>
      </w:pPr>
      <w:rPr>
        <w:rFonts w:hint="default"/>
      </w:rPr>
    </w:lvl>
  </w:abstractNum>
  <w:abstractNum w:abstractNumId="2">
    <w:nsid w:val="71DD0347"/>
    <w:multiLevelType w:val="multilevel"/>
    <w:tmpl w:val="71DD0347"/>
    <w:lvl w:ilvl="0" w:tentative="0">
      <w:start w:val="1"/>
      <w:numFmt w:val="decimal"/>
      <w:lvlText w:val="%1."/>
      <w:lvlJc w:val="left"/>
      <w:pPr>
        <w:ind w:left="360" w:hanging="360"/>
      </w:pPr>
      <w:rPr>
        <w:rFonts w:hint="default" w:ascii="Arial" w:hAnsi="Arial" w:cs="Arial"/>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4A"/>
    <w:rsid w:val="00000472"/>
    <w:rsid w:val="0000431A"/>
    <w:rsid w:val="000064FB"/>
    <w:rsid w:val="00010699"/>
    <w:rsid w:val="00012F7A"/>
    <w:rsid w:val="000136AF"/>
    <w:rsid w:val="00013893"/>
    <w:rsid w:val="00022EAB"/>
    <w:rsid w:val="00025520"/>
    <w:rsid w:val="00026928"/>
    <w:rsid w:val="0003058C"/>
    <w:rsid w:val="00033953"/>
    <w:rsid w:val="0003557A"/>
    <w:rsid w:val="00044C94"/>
    <w:rsid w:val="00051477"/>
    <w:rsid w:val="00051D1B"/>
    <w:rsid w:val="00054A70"/>
    <w:rsid w:val="000627AB"/>
    <w:rsid w:val="000713B9"/>
    <w:rsid w:val="00071A9F"/>
    <w:rsid w:val="00071B5B"/>
    <w:rsid w:val="00074C52"/>
    <w:rsid w:val="00077103"/>
    <w:rsid w:val="00081EA6"/>
    <w:rsid w:val="00083C82"/>
    <w:rsid w:val="00091C75"/>
    <w:rsid w:val="00091FFD"/>
    <w:rsid w:val="000A50D4"/>
    <w:rsid w:val="000B051C"/>
    <w:rsid w:val="000B061F"/>
    <w:rsid w:val="000B08C9"/>
    <w:rsid w:val="000B0953"/>
    <w:rsid w:val="000C261E"/>
    <w:rsid w:val="000C2A3C"/>
    <w:rsid w:val="000E0D2F"/>
    <w:rsid w:val="000E22D4"/>
    <w:rsid w:val="000F058E"/>
    <w:rsid w:val="000F19ED"/>
    <w:rsid w:val="000F344A"/>
    <w:rsid w:val="000F4EA2"/>
    <w:rsid w:val="000F6C89"/>
    <w:rsid w:val="001038B5"/>
    <w:rsid w:val="0011541A"/>
    <w:rsid w:val="001170D9"/>
    <w:rsid w:val="001254A9"/>
    <w:rsid w:val="0013033E"/>
    <w:rsid w:val="00130618"/>
    <w:rsid w:val="00134656"/>
    <w:rsid w:val="00136E8A"/>
    <w:rsid w:val="001406B8"/>
    <w:rsid w:val="0015599C"/>
    <w:rsid w:val="00157677"/>
    <w:rsid w:val="00173336"/>
    <w:rsid w:val="00176CF6"/>
    <w:rsid w:val="0018189F"/>
    <w:rsid w:val="001824C9"/>
    <w:rsid w:val="00185889"/>
    <w:rsid w:val="00186CB5"/>
    <w:rsid w:val="001903A6"/>
    <w:rsid w:val="001945A6"/>
    <w:rsid w:val="001A35A8"/>
    <w:rsid w:val="001A62B7"/>
    <w:rsid w:val="001C0435"/>
    <w:rsid w:val="001C1DA4"/>
    <w:rsid w:val="001C2A65"/>
    <w:rsid w:val="001D398E"/>
    <w:rsid w:val="001D691D"/>
    <w:rsid w:val="001E241B"/>
    <w:rsid w:val="001F24E1"/>
    <w:rsid w:val="002001BF"/>
    <w:rsid w:val="00206435"/>
    <w:rsid w:val="00207005"/>
    <w:rsid w:val="002132A2"/>
    <w:rsid w:val="0021345D"/>
    <w:rsid w:val="00215036"/>
    <w:rsid w:val="0021560A"/>
    <w:rsid w:val="00220B48"/>
    <w:rsid w:val="00234E03"/>
    <w:rsid w:val="00237CFB"/>
    <w:rsid w:val="00242FF7"/>
    <w:rsid w:val="002454A2"/>
    <w:rsid w:val="00247E3C"/>
    <w:rsid w:val="002519D1"/>
    <w:rsid w:val="00253750"/>
    <w:rsid w:val="00260F6B"/>
    <w:rsid w:val="00263D80"/>
    <w:rsid w:val="00270AA5"/>
    <w:rsid w:val="00273328"/>
    <w:rsid w:val="00274947"/>
    <w:rsid w:val="002821D7"/>
    <w:rsid w:val="00283009"/>
    <w:rsid w:val="0028311A"/>
    <w:rsid w:val="002919BB"/>
    <w:rsid w:val="0029487B"/>
    <w:rsid w:val="002A3B3E"/>
    <w:rsid w:val="002A3C88"/>
    <w:rsid w:val="002A5465"/>
    <w:rsid w:val="002A62BF"/>
    <w:rsid w:val="002A7071"/>
    <w:rsid w:val="002A7DD2"/>
    <w:rsid w:val="002B0E01"/>
    <w:rsid w:val="002B2273"/>
    <w:rsid w:val="002D780A"/>
    <w:rsid w:val="002E4B9B"/>
    <w:rsid w:val="002F282C"/>
    <w:rsid w:val="00301DF9"/>
    <w:rsid w:val="00305465"/>
    <w:rsid w:val="00305FDA"/>
    <w:rsid w:val="00306C19"/>
    <w:rsid w:val="003078FD"/>
    <w:rsid w:val="00315E4E"/>
    <w:rsid w:val="00317463"/>
    <w:rsid w:val="00331566"/>
    <w:rsid w:val="00331F29"/>
    <w:rsid w:val="003364FB"/>
    <w:rsid w:val="00336B62"/>
    <w:rsid w:val="00340B87"/>
    <w:rsid w:val="00340BD4"/>
    <w:rsid w:val="003443B3"/>
    <w:rsid w:val="00345EF6"/>
    <w:rsid w:val="003531BC"/>
    <w:rsid w:val="0035415E"/>
    <w:rsid w:val="0035473A"/>
    <w:rsid w:val="00356FC0"/>
    <w:rsid w:val="0036443A"/>
    <w:rsid w:val="003726D7"/>
    <w:rsid w:val="003746A5"/>
    <w:rsid w:val="0038100F"/>
    <w:rsid w:val="00382E62"/>
    <w:rsid w:val="00385CE6"/>
    <w:rsid w:val="003862E7"/>
    <w:rsid w:val="00391CBE"/>
    <w:rsid w:val="00393EBB"/>
    <w:rsid w:val="00395987"/>
    <w:rsid w:val="003A33DC"/>
    <w:rsid w:val="003A4EBD"/>
    <w:rsid w:val="003A5B63"/>
    <w:rsid w:val="003B08A5"/>
    <w:rsid w:val="003B0982"/>
    <w:rsid w:val="003B173F"/>
    <w:rsid w:val="003B18F0"/>
    <w:rsid w:val="003B378D"/>
    <w:rsid w:val="003B3C91"/>
    <w:rsid w:val="003C093D"/>
    <w:rsid w:val="003C2A04"/>
    <w:rsid w:val="003C6701"/>
    <w:rsid w:val="003C7A75"/>
    <w:rsid w:val="003D2665"/>
    <w:rsid w:val="003D44EA"/>
    <w:rsid w:val="003E3FD9"/>
    <w:rsid w:val="003E5DB3"/>
    <w:rsid w:val="003F19C0"/>
    <w:rsid w:val="00400300"/>
    <w:rsid w:val="00400468"/>
    <w:rsid w:val="004014D5"/>
    <w:rsid w:val="00405BB9"/>
    <w:rsid w:val="004153C2"/>
    <w:rsid w:val="00416E75"/>
    <w:rsid w:val="004203D5"/>
    <w:rsid w:val="00422510"/>
    <w:rsid w:val="004256D7"/>
    <w:rsid w:val="0042613A"/>
    <w:rsid w:val="00430A6F"/>
    <w:rsid w:val="00431333"/>
    <w:rsid w:val="00432D9C"/>
    <w:rsid w:val="004356EC"/>
    <w:rsid w:val="00435F38"/>
    <w:rsid w:val="00437620"/>
    <w:rsid w:val="00437B08"/>
    <w:rsid w:val="004403A7"/>
    <w:rsid w:val="00441BC8"/>
    <w:rsid w:val="00446BE5"/>
    <w:rsid w:val="004523E3"/>
    <w:rsid w:val="00453C91"/>
    <w:rsid w:val="00453DF3"/>
    <w:rsid w:val="00460A34"/>
    <w:rsid w:val="00462845"/>
    <w:rsid w:val="00465560"/>
    <w:rsid w:val="00472CDA"/>
    <w:rsid w:val="00477D89"/>
    <w:rsid w:val="0048081D"/>
    <w:rsid w:val="00483D56"/>
    <w:rsid w:val="004843A1"/>
    <w:rsid w:val="004853D9"/>
    <w:rsid w:val="00485C87"/>
    <w:rsid w:val="004951FD"/>
    <w:rsid w:val="00497063"/>
    <w:rsid w:val="004A3298"/>
    <w:rsid w:val="004A3501"/>
    <w:rsid w:val="004A64D0"/>
    <w:rsid w:val="004B4256"/>
    <w:rsid w:val="004C05EF"/>
    <w:rsid w:val="004C7DEC"/>
    <w:rsid w:val="004D00D2"/>
    <w:rsid w:val="004D107A"/>
    <w:rsid w:val="004D624B"/>
    <w:rsid w:val="004E1355"/>
    <w:rsid w:val="004E3AC9"/>
    <w:rsid w:val="004E793B"/>
    <w:rsid w:val="004F7B52"/>
    <w:rsid w:val="005001CF"/>
    <w:rsid w:val="005042B3"/>
    <w:rsid w:val="00504826"/>
    <w:rsid w:val="00507A08"/>
    <w:rsid w:val="0051113F"/>
    <w:rsid w:val="00515AD9"/>
    <w:rsid w:val="00517196"/>
    <w:rsid w:val="0052124A"/>
    <w:rsid w:val="005227F9"/>
    <w:rsid w:val="00530755"/>
    <w:rsid w:val="00533BDE"/>
    <w:rsid w:val="00535448"/>
    <w:rsid w:val="005366C3"/>
    <w:rsid w:val="005453EA"/>
    <w:rsid w:val="00552431"/>
    <w:rsid w:val="00566A1C"/>
    <w:rsid w:val="0056794F"/>
    <w:rsid w:val="00574A90"/>
    <w:rsid w:val="00575F0D"/>
    <w:rsid w:val="005847CC"/>
    <w:rsid w:val="00586258"/>
    <w:rsid w:val="0059025A"/>
    <w:rsid w:val="005906EC"/>
    <w:rsid w:val="00590AFA"/>
    <w:rsid w:val="00592C33"/>
    <w:rsid w:val="00596686"/>
    <w:rsid w:val="00596731"/>
    <w:rsid w:val="005A74E3"/>
    <w:rsid w:val="005B69EB"/>
    <w:rsid w:val="005C363B"/>
    <w:rsid w:val="005D3B21"/>
    <w:rsid w:val="005D52A3"/>
    <w:rsid w:val="005F0243"/>
    <w:rsid w:val="005F7472"/>
    <w:rsid w:val="00600079"/>
    <w:rsid w:val="00601F62"/>
    <w:rsid w:val="00603CAA"/>
    <w:rsid w:val="00605567"/>
    <w:rsid w:val="00610EB0"/>
    <w:rsid w:val="0061447E"/>
    <w:rsid w:val="00615014"/>
    <w:rsid w:val="00617AFA"/>
    <w:rsid w:val="00620297"/>
    <w:rsid w:val="00623F7C"/>
    <w:rsid w:val="006258FE"/>
    <w:rsid w:val="0063000C"/>
    <w:rsid w:val="0063489A"/>
    <w:rsid w:val="00637501"/>
    <w:rsid w:val="00641E8D"/>
    <w:rsid w:val="006438DC"/>
    <w:rsid w:val="00646A64"/>
    <w:rsid w:val="00647FF3"/>
    <w:rsid w:val="00655AE9"/>
    <w:rsid w:val="00656FE8"/>
    <w:rsid w:val="006579F1"/>
    <w:rsid w:val="006659CB"/>
    <w:rsid w:val="00671483"/>
    <w:rsid w:val="00672FEB"/>
    <w:rsid w:val="00676E2A"/>
    <w:rsid w:val="00681AC0"/>
    <w:rsid w:val="006831D0"/>
    <w:rsid w:val="00683A50"/>
    <w:rsid w:val="00687AB3"/>
    <w:rsid w:val="00695D66"/>
    <w:rsid w:val="006A2755"/>
    <w:rsid w:val="006A2EC0"/>
    <w:rsid w:val="006A3AB9"/>
    <w:rsid w:val="006A45FB"/>
    <w:rsid w:val="006B0971"/>
    <w:rsid w:val="006C7BCD"/>
    <w:rsid w:val="006D240C"/>
    <w:rsid w:val="006E35AD"/>
    <w:rsid w:val="006E4E0D"/>
    <w:rsid w:val="006E5F79"/>
    <w:rsid w:val="006E66EF"/>
    <w:rsid w:val="006E7821"/>
    <w:rsid w:val="006F36B1"/>
    <w:rsid w:val="006F6F6E"/>
    <w:rsid w:val="007105A4"/>
    <w:rsid w:val="00710687"/>
    <w:rsid w:val="00710BCB"/>
    <w:rsid w:val="00713D08"/>
    <w:rsid w:val="00720C05"/>
    <w:rsid w:val="00721928"/>
    <w:rsid w:val="007238A4"/>
    <w:rsid w:val="00726C0F"/>
    <w:rsid w:val="007300C1"/>
    <w:rsid w:val="0074171C"/>
    <w:rsid w:val="0074711A"/>
    <w:rsid w:val="00747428"/>
    <w:rsid w:val="00751351"/>
    <w:rsid w:val="00752CF0"/>
    <w:rsid w:val="00754DD1"/>
    <w:rsid w:val="00755A41"/>
    <w:rsid w:val="00757C6C"/>
    <w:rsid w:val="00762D01"/>
    <w:rsid w:val="0076305D"/>
    <w:rsid w:val="00775AA7"/>
    <w:rsid w:val="007851DA"/>
    <w:rsid w:val="00785C3C"/>
    <w:rsid w:val="00786362"/>
    <w:rsid w:val="00787A14"/>
    <w:rsid w:val="007967B0"/>
    <w:rsid w:val="007A331C"/>
    <w:rsid w:val="007A370D"/>
    <w:rsid w:val="007A55D5"/>
    <w:rsid w:val="007A5EDF"/>
    <w:rsid w:val="007A612F"/>
    <w:rsid w:val="007A77D2"/>
    <w:rsid w:val="007B034F"/>
    <w:rsid w:val="007B03C3"/>
    <w:rsid w:val="007B60EB"/>
    <w:rsid w:val="007B6585"/>
    <w:rsid w:val="007C076B"/>
    <w:rsid w:val="007C0A31"/>
    <w:rsid w:val="007D4681"/>
    <w:rsid w:val="007D6EF1"/>
    <w:rsid w:val="007E0EDB"/>
    <w:rsid w:val="007E0F15"/>
    <w:rsid w:val="007E1B3E"/>
    <w:rsid w:val="007E28F7"/>
    <w:rsid w:val="007F44CC"/>
    <w:rsid w:val="007F59F4"/>
    <w:rsid w:val="007F7859"/>
    <w:rsid w:val="008006CE"/>
    <w:rsid w:val="008018C4"/>
    <w:rsid w:val="00804C0E"/>
    <w:rsid w:val="008121E0"/>
    <w:rsid w:val="0081452F"/>
    <w:rsid w:val="008162AD"/>
    <w:rsid w:val="0082755B"/>
    <w:rsid w:val="0083359B"/>
    <w:rsid w:val="00841E64"/>
    <w:rsid w:val="0084216E"/>
    <w:rsid w:val="00842361"/>
    <w:rsid w:val="0084372C"/>
    <w:rsid w:val="00843D44"/>
    <w:rsid w:val="00853A74"/>
    <w:rsid w:val="00853EDF"/>
    <w:rsid w:val="008578CD"/>
    <w:rsid w:val="0086083F"/>
    <w:rsid w:val="00864C92"/>
    <w:rsid w:val="00865B50"/>
    <w:rsid w:val="00870F4F"/>
    <w:rsid w:val="00871016"/>
    <w:rsid w:val="00873305"/>
    <w:rsid w:val="00880EE1"/>
    <w:rsid w:val="0088385B"/>
    <w:rsid w:val="00887BAC"/>
    <w:rsid w:val="00891501"/>
    <w:rsid w:val="008946EF"/>
    <w:rsid w:val="00896AB6"/>
    <w:rsid w:val="00897462"/>
    <w:rsid w:val="008A3C85"/>
    <w:rsid w:val="008B091F"/>
    <w:rsid w:val="008B1E59"/>
    <w:rsid w:val="008B5D60"/>
    <w:rsid w:val="008B771F"/>
    <w:rsid w:val="008C3E40"/>
    <w:rsid w:val="008C5F50"/>
    <w:rsid w:val="008C7CEC"/>
    <w:rsid w:val="008D0C25"/>
    <w:rsid w:val="008D39EA"/>
    <w:rsid w:val="008D7170"/>
    <w:rsid w:val="008E1C63"/>
    <w:rsid w:val="008E248E"/>
    <w:rsid w:val="008E2ACD"/>
    <w:rsid w:val="008F2A61"/>
    <w:rsid w:val="008F3F82"/>
    <w:rsid w:val="008F6C64"/>
    <w:rsid w:val="00901E83"/>
    <w:rsid w:val="00902339"/>
    <w:rsid w:val="00920AB3"/>
    <w:rsid w:val="00924BBB"/>
    <w:rsid w:val="00927CE9"/>
    <w:rsid w:val="00934874"/>
    <w:rsid w:val="00943FE9"/>
    <w:rsid w:val="009512C0"/>
    <w:rsid w:val="00951A5A"/>
    <w:rsid w:val="009552E3"/>
    <w:rsid w:val="009562FA"/>
    <w:rsid w:val="00957B38"/>
    <w:rsid w:val="00957DB4"/>
    <w:rsid w:val="009643C9"/>
    <w:rsid w:val="00966716"/>
    <w:rsid w:val="00967033"/>
    <w:rsid w:val="00981283"/>
    <w:rsid w:val="009843BB"/>
    <w:rsid w:val="00997EDC"/>
    <w:rsid w:val="009A02CC"/>
    <w:rsid w:val="009A1348"/>
    <w:rsid w:val="009A140C"/>
    <w:rsid w:val="009A1429"/>
    <w:rsid w:val="009B16EA"/>
    <w:rsid w:val="009B1F11"/>
    <w:rsid w:val="009B3911"/>
    <w:rsid w:val="009C0ED8"/>
    <w:rsid w:val="009C2326"/>
    <w:rsid w:val="009C24FC"/>
    <w:rsid w:val="009C5201"/>
    <w:rsid w:val="009C5F7A"/>
    <w:rsid w:val="009C6487"/>
    <w:rsid w:val="009C749E"/>
    <w:rsid w:val="009D04F3"/>
    <w:rsid w:val="009D502A"/>
    <w:rsid w:val="009D5A77"/>
    <w:rsid w:val="009D64CB"/>
    <w:rsid w:val="009D71F1"/>
    <w:rsid w:val="009D7EF9"/>
    <w:rsid w:val="009E0AC7"/>
    <w:rsid w:val="009E1178"/>
    <w:rsid w:val="009E4E9F"/>
    <w:rsid w:val="009E5BF9"/>
    <w:rsid w:val="009F39B5"/>
    <w:rsid w:val="009F52C9"/>
    <w:rsid w:val="00A05B54"/>
    <w:rsid w:val="00A06F8F"/>
    <w:rsid w:val="00A14FB8"/>
    <w:rsid w:val="00A16DE1"/>
    <w:rsid w:val="00A211F9"/>
    <w:rsid w:val="00A24285"/>
    <w:rsid w:val="00A24989"/>
    <w:rsid w:val="00A317C7"/>
    <w:rsid w:val="00A36490"/>
    <w:rsid w:val="00A41B74"/>
    <w:rsid w:val="00A44AAE"/>
    <w:rsid w:val="00A51723"/>
    <w:rsid w:val="00A531DC"/>
    <w:rsid w:val="00A54604"/>
    <w:rsid w:val="00A6389C"/>
    <w:rsid w:val="00A647AB"/>
    <w:rsid w:val="00A65CE3"/>
    <w:rsid w:val="00A70064"/>
    <w:rsid w:val="00A73198"/>
    <w:rsid w:val="00A80955"/>
    <w:rsid w:val="00A84799"/>
    <w:rsid w:val="00A863A7"/>
    <w:rsid w:val="00A87606"/>
    <w:rsid w:val="00A90E32"/>
    <w:rsid w:val="00A965C4"/>
    <w:rsid w:val="00AA20C6"/>
    <w:rsid w:val="00AA3473"/>
    <w:rsid w:val="00AB4A79"/>
    <w:rsid w:val="00AB5905"/>
    <w:rsid w:val="00AB706E"/>
    <w:rsid w:val="00AC01E8"/>
    <w:rsid w:val="00AC55AA"/>
    <w:rsid w:val="00AC5ADC"/>
    <w:rsid w:val="00AD0018"/>
    <w:rsid w:val="00AD0615"/>
    <w:rsid w:val="00AD5FCE"/>
    <w:rsid w:val="00AD67A8"/>
    <w:rsid w:val="00AE210A"/>
    <w:rsid w:val="00AE3349"/>
    <w:rsid w:val="00AE47CE"/>
    <w:rsid w:val="00AE584A"/>
    <w:rsid w:val="00AE59C4"/>
    <w:rsid w:val="00AF201B"/>
    <w:rsid w:val="00AF2469"/>
    <w:rsid w:val="00AF5175"/>
    <w:rsid w:val="00AF61A9"/>
    <w:rsid w:val="00B0186A"/>
    <w:rsid w:val="00B018A4"/>
    <w:rsid w:val="00B05969"/>
    <w:rsid w:val="00B06209"/>
    <w:rsid w:val="00B10AEA"/>
    <w:rsid w:val="00B1342D"/>
    <w:rsid w:val="00B15DBC"/>
    <w:rsid w:val="00B1709D"/>
    <w:rsid w:val="00B204F3"/>
    <w:rsid w:val="00B27B08"/>
    <w:rsid w:val="00B30D56"/>
    <w:rsid w:val="00B30DE2"/>
    <w:rsid w:val="00B30F4F"/>
    <w:rsid w:val="00B3664C"/>
    <w:rsid w:val="00B40504"/>
    <w:rsid w:val="00B4356F"/>
    <w:rsid w:val="00B4679E"/>
    <w:rsid w:val="00B46E34"/>
    <w:rsid w:val="00B472FB"/>
    <w:rsid w:val="00B50F9E"/>
    <w:rsid w:val="00B56BF1"/>
    <w:rsid w:val="00B603EF"/>
    <w:rsid w:val="00B71483"/>
    <w:rsid w:val="00B76A52"/>
    <w:rsid w:val="00B84E80"/>
    <w:rsid w:val="00B8607F"/>
    <w:rsid w:val="00B869D7"/>
    <w:rsid w:val="00B91C72"/>
    <w:rsid w:val="00B95276"/>
    <w:rsid w:val="00B97C2E"/>
    <w:rsid w:val="00BA3EB3"/>
    <w:rsid w:val="00BA52C0"/>
    <w:rsid w:val="00BA6FE9"/>
    <w:rsid w:val="00BB2DF7"/>
    <w:rsid w:val="00BB6E18"/>
    <w:rsid w:val="00BB6FA1"/>
    <w:rsid w:val="00BB77C5"/>
    <w:rsid w:val="00BC0E50"/>
    <w:rsid w:val="00BC24D6"/>
    <w:rsid w:val="00BC6414"/>
    <w:rsid w:val="00BD1D0C"/>
    <w:rsid w:val="00BD5127"/>
    <w:rsid w:val="00BD5F54"/>
    <w:rsid w:val="00BE3A10"/>
    <w:rsid w:val="00BE5FB7"/>
    <w:rsid w:val="00BE654E"/>
    <w:rsid w:val="00BE7705"/>
    <w:rsid w:val="00BF0E6F"/>
    <w:rsid w:val="00BF2828"/>
    <w:rsid w:val="00BF3658"/>
    <w:rsid w:val="00C035E4"/>
    <w:rsid w:val="00C046BB"/>
    <w:rsid w:val="00C04F2A"/>
    <w:rsid w:val="00C121CC"/>
    <w:rsid w:val="00C12F6E"/>
    <w:rsid w:val="00C211F0"/>
    <w:rsid w:val="00C22116"/>
    <w:rsid w:val="00C23173"/>
    <w:rsid w:val="00C23DE9"/>
    <w:rsid w:val="00C30D6F"/>
    <w:rsid w:val="00C314EE"/>
    <w:rsid w:val="00C35260"/>
    <w:rsid w:val="00C3765E"/>
    <w:rsid w:val="00C46DDD"/>
    <w:rsid w:val="00C51D81"/>
    <w:rsid w:val="00C53791"/>
    <w:rsid w:val="00C55A0A"/>
    <w:rsid w:val="00C61B1B"/>
    <w:rsid w:val="00C632D5"/>
    <w:rsid w:val="00C66BD3"/>
    <w:rsid w:val="00C74D2A"/>
    <w:rsid w:val="00C7545B"/>
    <w:rsid w:val="00C759A9"/>
    <w:rsid w:val="00C84656"/>
    <w:rsid w:val="00C875B5"/>
    <w:rsid w:val="00CB7386"/>
    <w:rsid w:val="00CD1F7D"/>
    <w:rsid w:val="00CD6D11"/>
    <w:rsid w:val="00CE5D5C"/>
    <w:rsid w:val="00CE642C"/>
    <w:rsid w:val="00CF05AF"/>
    <w:rsid w:val="00CF1158"/>
    <w:rsid w:val="00CF1441"/>
    <w:rsid w:val="00CF66F6"/>
    <w:rsid w:val="00D03BF4"/>
    <w:rsid w:val="00D03E8A"/>
    <w:rsid w:val="00D04E0C"/>
    <w:rsid w:val="00D06886"/>
    <w:rsid w:val="00D12AD6"/>
    <w:rsid w:val="00D21681"/>
    <w:rsid w:val="00D25449"/>
    <w:rsid w:val="00D256CD"/>
    <w:rsid w:val="00D31471"/>
    <w:rsid w:val="00D31C4C"/>
    <w:rsid w:val="00D349E6"/>
    <w:rsid w:val="00D42D82"/>
    <w:rsid w:val="00D43278"/>
    <w:rsid w:val="00D43B95"/>
    <w:rsid w:val="00D449C6"/>
    <w:rsid w:val="00D5249B"/>
    <w:rsid w:val="00D53A74"/>
    <w:rsid w:val="00D54D80"/>
    <w:rsid w:val="00D56587"/>
    <w:rsid w:val="00D57DD4"/>
    <w:rsid w:val="00D62271"/>
    <w:rsid w:val="00D62603"/>
    <w:rsid w:val="00D65D56"/>
    <w:rsid w:val="00D66431"/>
    <w:rsid w:val="00D72DE7"/>
    <w:rsid w:val="00D7440F"/>
    <w:rsid w:val="00D863F9"/>
    <w:rsid w:val="00D90745"/>
    <w:rsid w:val="00D91CDB"/>
    <w:rsid w:val="00D94DF8"/>
    <w:rsid w:val="00D94FF6"/>
    <w:rsid w:val="00D97F0B"/>
    <w:rsid w:val="00DA3471"/>
    <w:rsid w:val="00DA5702"/>
    <w:rsid w:val="00DB0614"/>
    <w:rsid w:val="00DB0872"/>
    <w:rsid w:val="00DB2BF2"/>
    <w:rsid w:val="00DB65A5"/>
    <w:rsid w:val="00DC080D"/>
    <w:rsid w:val="00DC21AF"/>
    <w:rsid w:val="00DC6596"/>
    <w:rsid w:val="00DD1A54"/>
    <w:rsid w:val="00DD40C1"/>
    <w:rsid w:val="00DD6C5E"/>
    <w:rsid w:val="00DE47C2"/>
    <w:rsid w:val="00DE6D19"/>
    <w:rsid w:val="00DF1BA0"/>
    <w:rsid w:val="00DF4B35"/>
    <w:rsid w:val="00E0515A"/>
    <w:rsid w:val="00E0544C"/>
    <w:rsid w:val="00E13F00"/>
    <w:rsid w:val="00E239FA"/>
    <w:rsid w:val="00E264FB"/>
    <w:rsid w:val="00E26CE6"/>
    <w:rsid w:val="00E308B5"/>
    <w:rsid w:val="00E3096B"/>
    <w:rsid w:val="00E40FCE"/>
    <w:rsid w:val="00E4391A"/>
    <w:rsid w:val="00E50754"/>
    <w:rsid w:val="00E52138"/>
    <w:rsid w:val="00E535FC"/>
    <w:rsid w:val="00E54262"/>
    <w:rsid w:val="00E54F60"/>
    <w:rsid w:val="00E60D03"/>
    <w:rsid w:val="00E6686C"/>
    <w:rsid w:val="00E73C21"/>
    <w:rsid w:val="00E7425D"/>
    <w:rsid w:val="00E743F1"/>
    <w:rsid w:val="00E76949"/>
    <w:rsid w:val="00E773BB"/>
    <w:rsid w:val="00E80220"/>
    <w:rsid w:val="00E82C3D"/>
    <w:rsid w:val="00E82CAE"/>
    <w:rsid w:val="00E83405"/>
    <w:rsid w:val="00E92D6B"/>
    <w:rsid w:val="00E97D93"/>
    <w:rsid w:val="00EA0A2D"/>
    <w:rsid w:val="00EA1909"/>
    <w:rsid w:val="00EA2149"/>
    <w:rsid w:val="00EA3F6B"/>
    <w:rsid w:val="00EA56BA"/>
    <w:rsid w:val="00EB05B9"/>
    <w:rsid w:val="00EB0F5A"/>
    <w:rsid w:val="00EB56FD"/>
    <w:rsid w:val="00EC1CBA"/>
    <w:rsid w:val="00EC1E5E"/>
    <w:rsid w:val="00EC25AD"/>
    <w:rsid w:val="00EC5BB7"/>
    <w:rsid w:val="00EC67D1"/>
    <w:rsid w:val="00EC7652"/>
    <w:rsid w:val="00ED054C"/>
    <w:rsid w:val="00ED055C"/>
    <w:rsid w:val="00ED26F0"/>
    <w:rsid w:val="00ED36C8"/>
    <w:rsid w:val="00ED56DF"/>
    <w:rsid w:val="00ED5DF0"/>
    <w:rsid w:val="00ED6F4B"/>
    <w:rsid w:val="00EE7448"/>
    <w:rsid w:val="00EF0EEC"/>
    <w:rsid w:val="00EF1ECD"/>
    <w:rsid w:val="00EF6F38"/>
    <w:rsid w:val="00EF70F5"/>
    <w:rsid w:val="00F03A67"/>
    <w:rsid w:val="00F04D3A"/>
    <w:rsid w:val="00F05FDD"/>
    <w:rsid w:val="00F07C64"/>
    <w:rsid w:val="00F12DBB"/>
    <w:rsid w:val="00F144B2"/>
    <w:rsid w:val="00F2156D"/>
    <w:rsid w:val="00F22237"/>
    <w:rsid w:val="00F30CB3"/>
    <w:rsid w:val="00F3127E"/>
    <w:rsid w:val="00F42257"/>
    <w:rsid w:val="00F42ECA"/>
    <w:rsid w:val="00F50848"/>
    <w:rsid w:val="00F50EB1"/>
    <w:rsid w:val="00F51A3E"/>
    <w:rsid w:val="00F51EF8"/>
    <w:rsid w:val="00F5242E"/>
    <w:rsid w:val="00F52BA7"/>
    <w:rsid w:val="00F53E76"/>
    <w:rsid w:val="00F56718"/>
    <w:rsid w:val="00F62ADC"/>
    <w:rsid w:val="00F64A62"/>
    <w:rsid w:val="00F67593"/>
    <w:rsid w:val="00F717B5"/>
    <w:rsid w:val="00F735F2"/>
    <w:rsid w:val="00F7445F"/>
    <w:rsid w:val="00F74B85"/>
    <w:rsid w:val="00F75AFC"/>
    <w:rsid w:val="00F764F2"/>
    <w:rsid w:val="00F77C55"/>
    <w:rsid w:val="00F8302B"/>
    <w:rsid w:val="00F84152"/>
    <w:rsid w:val="00F84990"/>
    <w:rsid w:val="00F9401E"/>
    <w:rsid w:val="00FB04C2"/>
    <w:rsid w:val="00FB51DE"/>
    <w:rsid w:val="00FC577A"/>
    <w:rsid w:val="00FD6261"/>
    <w:rsid w:val="00FD73EA"/>
    <w:rsid w:val="00FE3019"/>
    <w:rsid w:val="00FF25BD"/>
    <w:rsid w:val="00FF73F4"/>
    <w:rsid w:val="025F3EEB"/>
    <w:rsid w:val="02F97601"/>
    <w:rsid w:val="09AE3894"/>
    <w:rsid w:val="0B8A2CB3"/>
    <w:rsid w:val="0D890B02"/>
    <w:rsid w:val="0DA92A95"/>
    <w:rsid w:val="0E4214F1"/>
    <w:rsid w:val="0E4D12E1"/>
    <w:rsid w:val="0E991F00"/>
    <w:rsid w:val="0EF50D6F"/>
    <w:rsid w:val="1046543F"/>
    <w:rsid w:val="114E4A00"/>
    <w:rsid w:val="11753B6E"/>
    <w:rsid w:val="141D5E0F"/>
    <w:rsid w:val="14C2659D"/>
    <w:rsid w:val="167E20F6"/>
    <w:rsid w:val="170272C6"/>
    <w:rsid w:val="17537B8E"/>
    <w:rsid w:val="1A132F57"/>
    <w:rsid w:val="1BFD3A77"/>
    <w:rsid w:val="1D1A36B1"/>
    <w:rsid w:val="210E62C7"/>
    <w:rsid w:val="217D1508"/>
    <w:rsid w:val="21FB4CDF"/>
    <w:rsid w:val="22A83E6A"/>
    <w:rsid w:val="245A4C5E"/>
    <w:rsid w:val="29794ABA"/>
    <w:rsid w:val="2CF07C47"/>
    <w:rsid w:val="2D144984"/>
    <w:rsid w:val="2DEB71E0"/>
    <w:rsid w:val="2DF36570"/>
    <w:rsid w:val="2F4231B5"/>
    <w:rsid w:val="30D42868"/>
    <w:rsid w:val="319C62FD"/>
    <w:rsid w:val="32146967"/>
    <w:rsid w:val="325F0DA1"/>
    <w:rsid w:val="32911E02"/>
    <w:rsid w:val="33910AAB"/>
    <w:rsid w:val="33CC3D88"/>
    <w:rsid w:val="37B449F3"/>
    <w:rsid w:val="39106EAD"/>
    <w:rsid w:val="39F50B5B"/>
    <w:rsid w:val="3C4271FA"/>
    <w:rsid w:val="3CE604FE"/>
    <w:rsid w:val="3D0F1846"/>
    <w:rsid w:val="404156D6"/>
    <w:rsid w:val="40BB7EEE"/>
    <w:rsid w:val="42C42DA9"/>
    <w:rsid w:val="43D24ED2"/>
    <w:rsid w:val="45053FCB"/>
    <w:rsid w:val="495C70E7"/>
    <w:rsid w:val="49C34948"/>
    <w:rsid w:val="4D1B1427"/>
    <w:rsid w:val="4D4D0662"/>
    <w:rsid w:val="4E0F0CBC"/>
    <w:rsid w:val="4E2E5752"/>
    <w:rsid w:val="4E727140"/>
    <w:rsid w:val="50C9382E"/>
    <w:rsid w:val="545428EA"/>
    <w:rsid w:val="568B1FD5"/>
    <w:rsid w:val="56CF7EF9"/>
    <w:rsid w:val="57890E5A"/>
    <w:rsid w:val="5A530D97"/>
    <w:rsid w:val="5A6F16D9"/>
    <w:rsid w:val="5AB16C5B"/>
    <w:rsid w:val="5B397E38"/>
    <w:rsid w:val="60AB49A7"/>
    <w:rsid w:val="62BB138E"/>
    <w:rsid w:val="63D506D7"/>
    <w:rsid w:val="66BC5F1C"/>
    <w:rsid w:val="683D27FF"/>
    <w:rsid w:val="6ED3687D"/>
    <w:rsid w:val="6F9500AA"/>
    <w:rsid w:val="708742D2"/>
    <w:rsid w:val="72F96CB0"/>
    <w:rsid w:val="73957164"/>
    <w:rsid w:val="758D4EA4"/>
    <w:rsid w:val="763E6DF1"/>
    <w:rsid w:val="7C68749E"/>
    <w:rsid w:val="7CBA4472"/>
    <w:rsid w:val="7F8056B8"/>
    <w:rsid w:val="7FE2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9"/>
    <w:unhideWhenUsed/>
    <w:qFormat/>
    <w:uiPriority w:val="9"/>
    <w:pPr>
      <w:keepNext/>
      <w:keepLines/>
      <w:spacing w:before="40" w:after="0" w:line="480" w:lineRule="auto"/>
      <w:outlineLvl w:val="1"/>
    </w:pPr>
    <w:rPr>
      <w:rFonts w:ascii="Times New Roman" w:hAnsi="Times New Roman" w:eastAsiaTheme="majorEastAsia" w:cstheme="majorBidi"/>
      <w:b/>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4"/>
    <w:semiHidden/>
    <w:unhideWhenUsed/>
    <w:qFormat/>
    <w:uiPriority w:val="99"/>
    <w:pPr>
      <w:spacing w:after="0" w:line="240" w:lineRule="auto"/>
    </w:pPr>
    <w:rPr>
      <w:rFonts w:ascii="Tahoma" w:hAnsi="Tahoma" w:cs="Tahoma"/>
      <w:sz w:val="16"/>
      <w:szCs w:val="16"/>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spacing w:line="240" w:lineRule="auto"/>
    </w:pPr>
    <w:rPr>
      <w:sz w:val="20"/>
      <w:szCs w:val="20"/>
      <w14:ligatures w14:val="standardContextual"/>
    </w:rPr>
  </w:style>
  <w:style w:type="paragraph" w:styleId="9">
    <w:name w:val="annotation subject"/>
    <w:basedOn w:val="8"/>
    <w:next w:val="8"/>
    <w:link w:val="36"/>
    <w:semiHidden/>
    <w:unhideWhenUsed/>
    <w:qFormat/>
    <w:uiPriority w:val="99"/>
    <w:rPr>
      <w:b/>
      <w:bCs/>
      <w14:ligatures w14:val="none"/>
    </w:rPr>
  </w:style>
  <w:style w:type="character" w:styleId="10">
    <w:name w:val="Emphasis"/>
    <w:basedOn w:val="4"/>
    <w:qFormat/>
    <w:uiPriority w:val="20"/>
    <w:rPr>
      <w:i/>
      <w:iCs/>
    </w:rPr>
  </w:style>
  <w:style w:type="paragraph" w:styleId="11">
    <w:name w:val="footer"/>
    <w:basedOn w:val="1"/>
    <w:link w:val="20"/>
    <w:unhideWhenUsed/>
    <w:qFormat/>
    <w:uiPriority w:val="99"/>
    <w:pPr>
      <w:tabs>
        <w:tab w:val="center" w:pos="4513"/>
        <w:tab w:val="right" w:pos="9026"/>
      </w:tabs>
      <w:spacing w:after="0" w:line="240" w:lineRule="auto"/>
    </w:pPr>
  </w:style>
  <w:style w:type="paragraph" w:styleId="12">
    <w:name w:val="header"/>
    <w:basedOn w:val="1"/>
    <w:link w:val="30"/>
    <w:unhideWhenUsed/>
    <w:qFormat/>
    <w:uiPriority w:val="99"/>
    <w:pPr>
      <w:tabs>
        <w:tab w:val="center" w:pos="4513"/>
        <w:tab w:val="right" w:pos="9026"/>
      </w:tabs>
      <w:spacing w:after="0" w:line="240" w:lineRule="auto"/>
    </w:pPr>
  </w:style>
  <w:style w:type="character" w:styleId="13">
    <w:name w:val="Hyperlink"/>
    <w:basedOn w:val="4"/>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5">
    <w:name w:val="Table Grid"/>
    <w:basedOn w:val="5"/>
    <w:qFormat/>
    <w:uiPriority w:val="39"/>
    <w:pPr>
      <w:spacing w:after="0" w:line="240" w:lineRule="auto"/>
    </w:pPr>
    <w:rPr>
      <w:kern w:val="2"/>
      <w:lang w:val="en-GB"/>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20"/>
    </w:pPr>
  </w:style>
  <w:style w:type="character" w:customStyle="1" w:styleId="18">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9">
    <w:name w:val="Heading 2 Char"/>
    <w:basedOn w:val="4"/>
    <w:link w:val="3"/>
    <w:qFormat/>
    <w:uiPriority w:val="9"/>
    <w:rPr>
      <w:rFonts w:ascii="Times New Roman" w:hAnsi="Times New Roman" w:eastAsiaTheme="majorEastAsia" w:cstheme="majorBidi"/>
      <w:b/>
      <w:sz w:val="26"/>
      <w:szCs w:val="26"/>
    </w:rPr>
  </w:style>
  <w:style w:type="character" w:customStyle="1" w:styleId="20">
    <w:name w:val="Footer Char"/>
    <w:basedOn w:val="4"/>
    <w:link w:val="11"/>
    <w:qFormat/>
    <w:uiPriority w:val="99"/>
  </w:style>
  <w:style w:type="table" w:customStyle="1" w:styleId="21">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22">
    <w:name w:val="html-italic"/>
    <w:basedOn w:val="4"/>
    <w:qFormat/>
    <w:uiPriority w:val="0"/>
  </w:style>
  <w:style w:type="character" w:customStyle="1" w:styleId="23">
    <w:name w:val="anchor-text"/>
    <w:basedOn w:val="4"/>
    <w:qFormat/>
    <w:uiPriority w:val="0"/>
  </w:style>
  <w:style w:type="paragraph" w:styleId="24">
    <w:name w:val="List Paragraph"/>
    <w:basedOn w:val="1"/>
    <w:qFormat/>
    <w:uiPriority w:val="34"/>
    <w:pPr>
      <w:ind w:left="720"/>
      <w:contextualSpacing/>
    </w:pPr>
    <w:rPr>
      <w14:ligatures w14:val="standardContextual"/>
    </w:rPr>
  </w:style>
  <w:style w:type="character" w:customStyle="1" w:styleId="25">
    <w:name w:val="Comment Text Char"/>
    <w:basedOn w:val="4"/>
    <w:link w:val="8"/>
    <w:semiHidden/>
    <w:qFormat/>
    <w:uiPriority w:val="99"/>
    <w:rPr>
      <w:sz w:val="20"/>
      <w:szCs w:val="20"/>
      <w14:ligatures w14:val="standardContextual"/>
    </w:rPr>
  </w:style>
  <w:style w:type="paragraph" w:customStyle="1" w:styleId="26">
    <w:name w:val="c-reading-companion__reference-citation"/>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table" w:customStyle="1" w:styleId="27">
    <w:name w:val="Grid Table 5 Dark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8">
    <w:name w:val="Grid Table 5 Dark - Accent 4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29">
    <w:name w:val="Grid Table 1 Light - Accent 31"/>
    <w:basedOn w:val="5"/>
    <w:qFormat/>
    <w:uiPriority w:val="46"/>
    <w:pPr>
      <w:spacing w:after="0" w:line="240" w:lineRule="auto"/>
    </w:pPr>
    <w:rPr>
      <w:kern w:val="2"/>
      <w:lang w:val="en-GB"/>
      <w14:ligatures w14:val="standardContextual"/>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CellMar>
        <w:top w:w="0" w:type="dxa"/>
        <w:left w:w="108" w:type="dxa"/>
        <w:bottom w:w="0" w:type="dxa"/>
        <w:right w:w="108" w:type="dxa"/>
      </w:tblCellMar>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character" w:customStyle="1" w:styleId="30">
    <w:name w:val="Header Char"/>
    <w:basedOn w:val="4"/>
    <w:link w:val="12"/>
    <w:qFormat/>
    <w:uiPriority w:val="99"/>
  </w:style>
  <w:style w:type="table" w:customStyle="1" w:styleId="31">
    <w:name w:val="List Table 6 Colorful1"/>
    <w:basedOn w:val="5"/>
    <w:qFormat/>
    <w:uiPriority w:val="51"/>
    <w:pPr>
      <w:spacing w:after="0" w:line="240" w:lineRule="auto"/>
    </w:pPr>
    <w:rPr>
      <w:color w:val="000000" w:themeColor="text1"/>
      <w:kern w:val="2"/>
      <w:lang w:val="en-GB"/>
      <w14:textFill>
        <w14:solidFill>
          <w14:schemeClr w14:val="tx1"/>
        </w14:solidFill>
      </w14:textFill>
      <w14:ligatures w14:val="standardContextual"/>
    </w:rPr>
    <w:tblPr>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
    <w:name w:val="Grid Table 1 Light1"/>
    <w:basedOn w:val="5"/>
    <w:qFormat/>
    <w:uiPriority w:val="46"/>
    <w:pPr>
      <w:spacing w:after="0" w:line="240" w:lineRule="auto"/>
    </w:pPr>
    <w:rPr>
      <w:kern w:val="2"/>
      <w:lang w:val="en-GB"/>
      <w14:ligatures w14:val="standardContextual"/>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3">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Balloon Text Char"/>
    <w:basedOn w:val="4"/>
    <w:link w:val="6"/>
    <w:semiHidden/>
    <w:qFormat/>
    <w:uiPriority w:val="99"/>
    <w:rPr>
      <w:rFonts w:ascii="Tahoma" w:hAnsi="Tahoma" w:cs="Tahoma"/>
      <w:sz w:val="16"/>
      <w:szCs w:val="16"/>
    </w:rPr>
  </w:style>
  <w:style w:type="paragraph" w:customStyle="1" w:styleId="35">
    <w:name w:val="Bibliography"/>
    <w:basedOn w:val="1"/>
    <w:next w:val="1"/>
    <w:unhideWhenUsed/>
    <w:qFormat/>
    <w:uiPriority w:val="37"/>
    <w:pPr>
      <w:spacing w:after="0" w:line="480" w:lineRule="auto"/>
      <w:ind w:left="720" w:hanging="720"/>
    </w:pPr>
  </w:style>
  <w:style w:type="character" w:customStyle="1" w:styleId="36">
    <w:name w:val="Comment Subject Char"/>
    <w:basedOn w:val="25"/>
    <w:link w:val="9"/>
    <w:semiHidden/>
    <w:qFormat/>
    <w:uiPriority w:val="99"/>
    <w:rPr>
      <w:b/>
      <w:bCs/>
      <w:sz w:val="20"/>
      <w:szCs w:val="20"/>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6342</Words>
  <Characters>36155</Characters>
  <Lines>301</Lines>
  <Paragraphs>84</Paragraphs>
  <TotalTime>36</TotalTime>
  <ScaleCrop>false</ScaleCrop>
  <LinksUpToDate>false</LinksUpToDate>
  <CharactersWithSpaces>42413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2025-04-17T15:41:00Z</dcterms:created>
  <dc:creator>DELL</dc:creator>
  <cp:lastModifiedBy>Nosa osawe</cp:lastModifiedBy>
  <dcterms:modified xsi:type="dcterms:W3CDTF">2025-06-11T05:59:42Z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cc33e793-3701-4d49-a61d-27843cc7e1ad</vt:lpwstr>
  </property>
  <property fmtid="{D5CDD505-2E9C-101B-9397-08002B2CF9AE}" pid="3" name="ZOTERO_PREF_1">
    <vt:lpwstr>&lt;data data-version="3" zotero-version="6.0.36"&gt;&lt;session id="VzT09FbC"/&gt;&lt;style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KSOProductBuildVer">
    <vt:lpwstr>1033-12.2.0.21179</vt:lpwstr>
  </property>
  <property fmtid="{D5CDD505-2E9C-101B-9397-08002B2CF9AE}" pid="6" name="ICV">
    <vt:lpwstr>D61F3A59C7B64062901DC904EBB22423_13</vt:lpwstr>
  </property>
</Properties>
</file>