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69F" w:rsidRDefault="007B469F" w:rsidP="00C055FC">
      <w:pPr>
        <w:jc w:val="both"/>
        <w:rPr>
          <w:rFonts w:ascii="Times New Roman" w:hAnsi="Times New Roman" w:cs="Times New Roman"/>
          <w:sz w:val="24"/>
        </w:rPr>
      </w:pPr>
      <w:r>
        <w:rPr>
          <w:rFonts w:ascii="Times New Roman" w:hAnsi="Times New Roman" w:cs="Times New Roman"/>
          <w:sz w:val="24"/>
        </w:rPr>
        <w:t xml:space="preserve">Sweep nets bias in </w:t>
      </w:r>
    </w:p>
    <w:p w:rsidR="007B469F" w:rsidRDefault="007B469F" w:rsidP="00C055FC">
      <w:pPr>
        <w:jc w:val="both"/>
        <w:rPr>
          <w:rFonts w:ascii="Times New Roman" w:hAnsi="Times New Roman" w:cs="Times New Roman"/>
          <w:sz w:val="24"/>
        </w:rPr>
      </w:pPr>
    </w:p>
    <w:p w:rsidR="00493DA7" w:rsidRDefault="00493DA7" w:rsidP="00C055FC">
      <w:pPr>
        <w:jc w:val="both"/>
        <w:rPr>
          <w:rFonts w:ascii="Times New Roman" w:hAnsi="Times New Roman" w:cs="Times New Roman"/>
          <w:sz w:val="24"/>
        </w:rPr>
      </w:pPr>
      <w:r>
        <w:rPr>
          <w:rFonts w:ascii="Times New Roman" w:hAnsi="Times New Roman" w:cs="Times New Roman"/>
          <w:sz w:val="24"/>
        </w:rPr>
        <w:t xml:space="preserve">What is the </w:t>
      </w:r>
      <w:r w:rsidR="005314F7">
        <w:rPr>
          <w:rFonts w:ascii="Times New Roman" w:hAnsi="Times New Roman" w:cs="Times New Roman"/>
          <w:sz w:val="24"/>
        </w:rPr>
        <w:t xml:space="preserve">richness of species </w:t>
      </w:r>
      <w:r>
        <w:rPr>
          <w:rFonts w:ascii="Times New Roman" w:hAnsi="Times New Roman" w:cs="Times New Roman"/>
          <w:sz w:val="24"/>
        </w:rPr>
        <w:t>of flies in the areas?</w:t>
      </w:r>
    </w:p>
    <w:p w:rsidR="00493DA7" w:rsidRDefault="00493DA7" w:rsidP="00C055FC">
      <w:pPr>
        <w:jc w:val="both"/>
        <w:rPr>
          <w:rFonts w:ascii="Times New Roman" w:hAnsi="Times New Roman" w:cs="Times New Roman"/>
          <w:sz w:val="24"/>
        </w:rPr>
      </w:pPr>
      <w:r>
        <w:rPr>
          <w:rFonts w:ascii="Times New Roman" w:hAnsi="Times New Roman" w:cs="Times New Roman"/>
          <w:sz w:val="24"/>
        </w:rPr>
        <w:t xml:space="preserve">How well </w:t>
      </w:r>
      <w:r w:rsidR="005314F7">
        <w:rPr>
          <w:rFonts w:ascii="Times New Roman" w:hAnsi="Times New Roman" w:cs="Times New Roman"/>
          <w:sz w:val="24"/>
        </w:rPr>
        <w:t>do</w:t>
      </w:r>
      <w:r>
        <w:rPr>
          <w:rFonts w:ascii="Times New Roman" w:hAnsi="Times New Roman" w:cs="Times New Roman"/>
          <w:sz w:val="24"/>
        </w:rPr>
        <w:t xml:space="preserve"> bottle traps compare to sweep nets in collecting flies in eateries?</w:t>
      </w:r>
    </w:p>
    <w:p w:rsidR="00493DA7" w:rsidRDefault="005314F7" w:rsidP="00C055FC">
      <w:pPr>
        <w:jc w:val="both"/>
        <w:rPr>
          <w:rFonts w:ascii="Times New Roman" w:hAnsi="Times New Roman" w:cs="Times New Roman"/>
          <w:sz w:val="24"/>
        </w:rPr>
      </w:pPr>
      <w:r>
        <w:rPr>
          <w:rFonts w:ascii="Times New Roman" w:hAnsi="Times New Roman" w:cs="Times New Roman"/>
          <w:sz w:val="24"/>
        </w:rPr>
        <w:t xml:space="preserve">Compare the community structure of the kitchen to </w:t>
      </w:r>
      <w:proofErr w:type="spellStart"/>
      <w:r>
        <w:rPr>
          <w:rFonts w:ascii="Times New Roman" w:hAnsi="Times New Roman" w:cs="Times New Roman"/>
          <w:sz w:val="24"/>
        </w:rPr>
        <w:t>Palours</w:t>
      </w:r>
      <w:proofErr w:type="spellEnd"/>
    </w:p>
    <w:p w:rsidR="005314F7" w:rsidRDefault="005314F7" w:rsidP="00C055FC">
      <w:pPr>
        <w:jc w:val="both"/>
        <w:rPr>
          <w:rFonts w:ascii="Times New Roman" w:hAnsi="Times New Roman" w:cs="Times New Roman"/>
          <w:sz w:val="24"/>
        </w:rPr>
      </w:pPr>
      <w:r>
        <w:rPr>
          <w:rFonts w:ascii="Times New Roman" w:hAnsi="Times New Roman" w:cs="Times New Roman"/>
          <w:sz w:val="24"/>
        </w:rPr>
        <w:t>Compare the community structure of Taverns to Restaurants</w:t>
      </w:r>
    </w:p>
    <w:p w:rsidR="005314F7" w:rsidRDefault="005314F7" w:rsidP="00C055FC">
      <w:pPr>
        <w:jc w:val="both"/>
        <w:rPr>
          <w:rFonts w:ascii="Times New Roman" w:hAnsi="Times New Roman" w:cs="Times New Roman"/>
          <w:sz w:val="24"/>
        </w:rPr>
      </w:pPr>
      <w:r>
        <w:rPr>
          <w:rFonts w:ascii="Times New Roman" w:hAnsi="Times New Roman" w:cs="Times New Roman"/>
          <w:sz w:val="24"/>
        </w:rPr>
        <w:t xml:space="preserve">Does the community composition of </w:t>
      </w:r>
      <w:r w:rsidR="00740A54">
        <w:rPr>
          <w:rFonts w:ascii="Times New Roman" w:hAnsi="Times New Roman" w:cs="Times New Roman"/>
          <w:sz w:val="24"/>
        </w:rPr>
        <w:t>the fly</w:t>
      </w:r>
      <w:r>
        <w:rPr>
          <w:rFonts w:ascii="Times New Roman" w:hAnsi="Times New Roman" w:cs="Times New Roman"/>
          <w:sz w:val="24"/>
        </w:rPr>
        <w:t xml:space="preserve"> </w:t>
      </w:r>
      <w:r w:rsidR="00740A54">
        <w:rPr>
          <w:rFonts w:ascii="Times New Roman" w:hAnsi="Times New Roman" w:cs="Times New Roman"/>
          <w:sz w:val="24"/>
        </w:rPr>
        <w:t>collection</w:t>
      </w:r>
      <w:r>
        <w:rPr>
          <w:rFonts w:ascii="Times New Roman" w:hAnsi="Times New Roman" w:cs="Times New Roman"/>
          <w:sz w:val="24"/>
        </w:rPr>
        <w:t xml:space="preserve"> change with distance?</w:t>
      </w:r>
    </w:p>
    <w:p w:rsidR="005314F7" w:rsidRDefault="007B469F" w:rsidP="00C055FC">
      <w:pPr>
        <w:jc w:val="both"/>
        <w:rPr>
          <w:rFonts w:ascii="Times New Roman" w:hAnsi="Times New Roman" w:cs="Times New Roman"/>
          <w:sz w:val="24"/>
        </w:rPr>
      </w:pPr>
      <w:r>
        <w:rPr>
          <w:rFonts w:ascii="Times New Roman" w:hAnsi="Times New Roman" w:cs="Times New Roman"/>
          <w:sz w:val="24"/>
        </w:rPr>
        <w:t xml:space="preserve"> </w:t>
      </w:r>
    </w:p>
    <w:p w:rsidR="00493DA7" w:rsidRPr="00493DA7" w:rsidRDefault="00493DA7" w:rsidP="00C055FC">
      <w:pPr>
        <w:jc w:val="both"/>
        <w:rPr>
          <w:rFonts w:ascii="Times New Roman" w:hAnsi="Times New Roman" w:cs="Times New Roman"/>
          <w:sz w:val="24"/>
        </w:rPr>
      </w:pPr>
    </w:p>
    <w:p w:rsidR="00493DA7" w:rsidRDefault="00493DA7" w:rsidP="00C055FC">
      <w:pPr>
        <w:jc w:val="both"/>
        <w:rPr>
          <w:rFonts w:ascii="Times New Roman" w:hAnsi="Times New Roman" w:cs="Times New Roman"/>
          <w:b/>
          <w:sz w:val="24"/>
        </w:rPr>
      </w:pPr>
    </w:p>
    <w:p w:rsidR="009643C9" w:rsidRPr="00C21288" w:rsidRDefault="00D02FAC" w:rsidP="00C055FC">
      <w:pPr>
        <w:jc w:val="both"/>
        <w:rPr>
          <w:rFonts w:ascii="Times New Roman" w:hAnsi="Times New Roman" w:cs="Times New Roman"/>
          <w:b/>
          <w:sz w:val="24"/>
        </w:rPr>
      </w:pPr>
      <w:r w:rsidRPr="00C21288">
        <w:rPr>
          <w:rFonts w:ascii="Times New Roman" w:hAnsi="Times New Roman" w:cs="Times New Roman"/>
          <w:b/>
          <w:sz w:val="24"/>
        </w:rPr>
        <w:t>RESULT</w:t>
      </w:r>
    </w:p>
    <w:p w:rsidR="0010098C" w:rsidRDefault="0010098C" w:rsidP="0010098C">
      <w:pPr>
        <w:pStyle w:val="NormalWeb"/>
        <w:jc w:val="both"/>
      </w:pPr>
      <w:r>
        <w:t xml:space="preserve">A total of 2,813 individual dipterans (flies), representing seven distinct taxa across six genera, were collected during this study. These included </w:t>
      </w:r>
      <w:r>
        <w:rPr>
          <w:rStyle w:val="Emphasis"/>
        </w:rPr>
        <w:t xml:space="preserve">Musca </w:t>
      </w:r>
      <w:proofErr w:type="spellStart"/>
      <w:r>
        <w:rPr>
          <w:rStyle w:val="Emphasis"/>
        </w:rPr>
        <w:t>domestica</w:t>
      </w:r>
      <w:proofErr w:type="spellEnd"/>
      <w:r>
        <w:t xml:space="preserve">, </w:t>
      </w:r>
      <w:proofErr w:type="spellStart"/>
      <w:r>
        <w:rPr>
          <w:rStyle w:val="Emphasis"/>
        </w:rPr>
        <w:t>Muscina</w:t>
      </w:r>
      <w:proofErr w:type="spellEnd"/>
      <w:r>
        <w:t xml:space="preserve"> spp., </w:t>
      </w:r>
      <w:proofErr w:type="spellStart"/>
      <w:r>
        <w:rPr>
          <w:rStyle w:val="Emphasis"/>
        </w:rPr>
        <w:t>Phaenicia</w:t>
      </w:r>
      <w:proofErr w:type="spellEnd"/>
      <w:r>
        <w:rPr>
          <w:rStyle w:val="Emphasis"/>
        </w:rPr>
        <w:t xml:space="preserve"> </w:t>
      </w:r>
      <w:proofErr w:type="spellStart"/>
      <w:r>
        <w:rPr>
          <w:rStyle w:val="Emphasis"/>
        </w:rPr>
        <w:t>cuprina</w:t>
      </w:r>
      <w:proofErr w:type="spellEnd"/>
      <w:r>
        <w:t xml:space="preserve">, </w:t>
      </w:r>
      <w:proofErr w:type="spellStart"/>
      <w:r>
        <w:rPr>
          <w:rStyle w:val="Emphasis"/>
        </w:rPr>
        <w:t>Phaenicia</w:t>
      </w:r>
      <w:proofErr w:type="spellEnd"/>
      <w:r>
        <w:rPr>
          <w:rStyle w:val="Emphasis"/>
        </w:rPr>
        <w:t xml:space="preserve"> </w:t>
      </w:r>
      <w:proofErr w:type="spellStart"/>
      <w:r>
        <w:rPr>
          <w:rStyle w:val="Emphasis"/>
        </w:rPr>
        <w:t>sericata</w:t>
      </w:r>
      <w:proofErr w:type="spellEnd"/>
      <w:r>
        <w:t xml:space="preserve">, </w:t>
      </w:r>
      <w:r>
        <w:rPr>
          <w:rStyle w:val="Emphasis"/>
        </w:rPr>
        <w:t>Drosophila</w:t>
      </w:r>
      <w:r>
        <w:t xml:space="preserve"> spp., </w:t>
      </w:r>
      <w:proofErr w:type="spellStart"/>
      <w:r>
        <w:rPr>
          <w:rStyle w:val="Emphasis"/>
        </w:rPr>
        <w:t>Fannia</w:t>
      </w:r>
      <w:proofErr w:type="spellEnd"/>
      <w:r>
        <w:rPr>
          <w:rStyle w:val="Emphasis"/>
        </w:rPr>
        <w:t xml:space="preserve"> </w:t>
      </w:r>
      <w:proofErr w:type="spellStart"/>
      <w:r>
        <w:rPr>
          <w:rStyle w:val="Emphasis"/>
        </w:rPr>
        <w:t>canicularis</w:t>
      </w:r>
      <w:proofErr w:type="spellEnd"/>
      <w:r>
        <w:t xml:space="preserve">, and </w:t>
      </w:r>
      <w:proofErr w:type="spellStart"/>
      <w:r>
        <w:rPr>
          <w:rStyle w:val="Emphasis"/>
        </w:rPr>
        <w:t>Sarcophaga</w:t>
      </w:r>
      <w:proofErr w:type="spellEnd"/>
      <w:r>
        <w:t xml:space="preserve"> spp. Among them, </w:t>
      </w:r>
      <w:r>
        <w:rPr>
          <w:rStyle w:val="Emphasis"/>
        </w:rPr>
        <w:t xml:space="preserve">M. </w:t>
      </w:r>
      <w:proofErr w:type="spellStart"/>
      <w:r>
        <w:rPr>
          <w:rStyle w:val="Emphasis"/>
        </w:rPr>
        <w:t>domestica</w:t>
      </w:r>
      <w:proofErr w:type="spellEnd"/>
      <w:r>
        <w:t xml:space="preserve"> was the most dominant species in collections from both bottle traps and sweep nets, with recorded abundances of 383 and 1,901 individuals</w:t>
      </w:r>
      <w:r w:rsidR="002B6FF4">
        <w:t>,</w:t>
      </w:r>
      <w:bookmarkStart w:id="0" w:name="_GoBack"/>
      <w:bookmarkEnd w:id="0"/>
      <w:r>
        <w:t xml:space="preserve"> respectively. Following in abundance were </w:t>
      </w:r>
      <w:r>
        <w:rPr>
          <w:rStyle w:val="Emphasis"/>
        </w:rPr>
        <w:t xml:space="preserve">P. </w:t>
      </w:r>
      <w:proofErr w:type="spellStart"/>
      <w:r>
        <w:rPr>
          <w:rStyle w:val="Emphasis"/>
        </w:rPr>
        <w:t>sericata</w:t>
      </w:r>
      <w:proofErr w:type="spellEnd"/>
      <w:r>
        <w:t xml:space="preserve"> and </w:t>
      </w:r>
      <w:r>
        <w:rPr>
          <w:rStyle w:val="Emphasis"/>
        </w:rPr>
        <w:t xml:space="preserve">P. </w:t>
      </w:r>
      <w:proofErr w:type="spellStart"/>
      <w:r>
        <w:rPr>
          <w:rStyle w:val="Emphasis"/>
        </w:rPr>
        <w:t>cuprina</w:t>
      </w:r>
      <w:proofErr w:type="spellEnd"/>
      <w:r>
        <w:t xml:space="preserve">, while </w:t>
      </w:r>
      <w:r>
        <w:rPr>
          <w:rStyle w:val="Emphasis"/>
        </w:rPr>
        <w:t xml:space="preserve">F. </w:t>
      </w:r>
      <w:proofErr w:type="spellStart"/>
      <w:r>
        <w:rPr>
          <w:rStyle w:val="Emphasis"/>
        </w:rPr>
        <w:t>canicularis</w:t>
      </w:r>
      <w:proofErr w:type="spellEnd"/>
      <w:r>
        <w:t xml:space="preserve"> was notably rare, with only a single individual collected throughout the entire sampling period. Overall, seven fly taxa were identified across the two collection methods, with sweep nets capturing significantly higher numbers of most species. For instance, </w:t>
      </w:r>
      <w:r>
        <w:rPr>
          <w:rStyle w:val="Emphasis"/>
        </w:rPr>
        <w:t xml:space="preserve">P. </w:t>
      </w:r>
      <w:proofErr w:type="spellStart"/>
      <w:r>
        <w:rPr>
          <w:rStyle w:val="Emphasis"/>
        </w:rPr>
        <w:t>sericata</w:t>
      </w:r>
      <w:proofErr w:type="spellEnd"/>
      <w:r>
        <w:t xml:space="preserve"> was more abundant in sweep net samples (270) than in bottle trap samples (14), and similar trends were observed for </w:t>
      </w:r>
      <w:r>
        <w:rPr>
          <w:rStyle w:val="Emphasis"/>
        </w:rPr>
        <w:t xml:space="preserve">P. </w:t>
      </w:r>
      <w:proofErr w:type="spellStart"/>
      <w:r>
        <w:rPr>
          <w:rStyle w:val="Emphasis"/>
        </w:rPr>
        <w:t>cuprina</w:t>
      </w:r>
      <w:proofErr w:type="spellEnd"/>
      <w:r>
        <w:t xml:space="preserve"> (113 vs. 12), </w:t>
      </w:r>
      <w:proofErr w:type="spellStart"/>
      <w:r>
        <w:rPr>
          <w:rStyle w:val="Emphasis"/>
        </w:rPr>
        <w:t>Sarcophaga</w:t>
      </w:r>
      <w:proofErr w:type="spellEnd"/>
      <w:r>
        <w:t xml:space="preserve"> spp. (82 vs. 3), and </w:t>
      </w:r>
      <w:proofErr w:type="spellStart"/>
      <w:r>
        <w:rPr>
          <w:rStyle w:val="Emphasis"/>
        </w:rPr>
        <w:t>Muscina</w:t>
      </w:r>
      <w:proofErr w:type="spellEnd"/>
      <w:r>
        <w:t xml:space="preserve"> spp. (28 vs. 2). </w:t>
      </w:r>
      <w:r>
        <w:rPr>
          <w:rStyle w:val="Emphasis"/>
        </w:rPr>
        <w:t xml:space="preserve">F. </w:t>
      </w:r>
      <w:proofErr w:type="spellStart"/>
      <w:r>
        <w:rPr>
          <w:rStyle w:val="Emphasis"/>
        </w:rPr>
        <w:t>canicularis</w:t>
      </w:r>
      <w:proofErr w:type="spellEnd"/>
      <w:r>
        <w:t xml:space="preserve"> occurred solely in sweep net samples, while </w:t>
      </w:r>
      <w:r>
        <w:rPr>
          <w:rStyle w:val="Emphasis"/>
        </w:rPr>
        <w:t>Drosophila</w:t>
      </w:r>
      <w:r>
        <w:t xml:space="preserve"> spp. were found in equal numbers (2 individuals) across both methods. Collectively, the data indicate that sweep nets were more effective than bottle traps in capturing a broader range and greater abundance of fly taxa.</w:t>
      </w:r>
    </w:p>
    <w:p w:rsidR="0010098C" w:rsidRDefault="0010098C" w:rsidP="0010098C">
      <w:pPr>
        <w:pStyle w:val="NormalWeb"/>
        <w:jc w:val="both"/>
      </w:pPr>
      <w:r>
        <w:t>In tavern sites, a total of 635 individual flies were collected using sweep nets, while 416 were captured using bottle traps. Notably, several fly species showed marked differences in abundance between the two collection methods (Figures _ and _). A Fisher’s Exact Test revealed a statistically significant difference in the proportions of fly species collected between methods (</w:t>
      </w:r>
      <w:r w:rsidRPr="0010098C">
        <w:rPr>
          <w:i/>
        </w:rPr>
        <w:t>p</w:t>
      </w:r>
      <w:r>
        <w:t xml:space="preserve"> = 0.011), indicating that the method of collection influenced species composition. This pattern is particularly evident for species such as </w:t>
      </w:r>
      <w:proofErr w:type="spellStart"/>
      <w:r>
        <w:rPr>
          <w:rStyle w:val="Emphasis"/>
        </w:rPr>
        <w:t>Phaenicia</w:t>
      </w:r>
      <w:proofErr w:type="spellEnd"/>
      <w:r>
        <w:rPr>
          <w:rStyle w:val="Emphasis"/>
        </w:rPr>
        <w:t xml:space="preserve"> </w:t>
      </w:r>
      <w:proofErr w:type="spellStart"/>
      <w:r>
        <w:rPr>
          <w:rStyle w:val="Emphasis"/>
        </w:rPr>
        <w:t>sericata</w:t>
      </w:r>
      <w:proofErr w:type="spellEnd"/>
      <w:r>
        <w:t xml:space="preserve">, </w:t>
      </w:r>
      <w:proofErr w:type="spellStart"/>
      <w:r>
        <w:rPr>
          <w:rStyle w:val="Emphasis"/>
        </w:rPr>
        <w:t>Phaenicia</w:t>
      </w:r>
      <w:proofErr w:type="spellEnd"/>
      <w:r>
        <w:rPr>
          <w:rStyle w:val="Emphasis"/>
        </w:rPr>
        <w:t xml:space="preserve"> </w:t>
      </w:r>
      <w:proofErr w:type="spellStart"/>
      <w:r>
        <w:rPr>
          <w:rStyle w:val="Emphasis"/>
        </w:rPr>
        <w:t>cuprina</w:t>
      </w:r>
      <w:proofErr w:type="spellEnd"/>
      <w:r>
        <w:t xml:space="preserve">, </w:t>
      </w:r>
      <w:r>
        <w:rPr>
          <w:rStyle w:val="Emphasis"/>
        </w:rPr>
        <w:t xml:space="preserve">Musca </w:t>
      </w:r>
      <w:proofErr w:type="spellStart"/>
      <w:r>
        <w:rPr>
          <w:rStyle w:val="Emphasis"/>
        </w:rPr>
        <w:t>domestica</w:t>
      </w:r>
      <w:proofErr w:type="spellEnd"/>
      <w:r>
        <w:t xml:space="preserve">, and </w:t>
      </w:r>
      <w:proofErr w:type="spellStart"/>
      <w:r>
        <w:rPr>
          <w:rStyle w:val="Emphasis"/>
        </w:rPr>
        <w:t>Muscina</w:t>
      </w:r>
      <w:proofErr w:type="spellEnd"/>
      <w:r>
        <w:t xml:space="preserve"> spp., which deviate strongly from the diagonal in Figure X. Figure _ illustrates the proportion of species collected based on raw abundance, highlighting that </w:t>
      </w:r>
      <w:r>
        <w:rPr>
          <w:rStyle w:val="Emphasis"/>
        </w:rPr>
        <w:t xml:space="preserve">M. </w:t>
      </w:r>
      <w:proofErr w:type="spellStart"/>
      <w:r>
        <w:rPr>
          <w:rStyle w:val="Emphasis"/>
        </w:rPr>
        <w:t>domestica</w:t>
      </w:r>
      <w:proofErr w:type="spellEnd"/>
      <w:r>
        <w:t xml:space="preserve"> was more frequently captured using sweep nets (549 individuals) than bottle traps (383 individuals). However, when assessed by relative abundance within each trap type, </w:t>
      </w:r>
      <w:r>
        <w:rPr>
          <w:rStyle w:val="Emphasis"/>
        </w:rPr>
        <w:t xml:space="preserve">M. </w:t>
      </w:r>
      <w:proofErr w:type="spellStart"/>
      <w:r>
        <w:rPr>
          <w:rStyle w:val="Emphasis"/>
        </w:rPr>
        <w:t>domestica</w:t>
      </w:r>
      <w:proofErr w:type="spellEnd"/>
      <w:r>
        <w:t xml:space="preserve"> accounted for a higher proportion of the bottle trap captures (92%) compared to the sweep net captures (86%), as shown in Figure _. Despite the differences in absolute and relative abundance, both perspectives produce </w:t>
      </w:r>
      <w:r>
        <w:lastRenderedPageBreak/>
        <w:t>similar patterns in species rankings and dichotomous groupings, suggesting consistency in the comparative effectiveness of the two methods across taxa.</w:t>
      </w:r>
    </w:p>
    <w:p w:rsidR="002332F4" w:rsidRDefault="002332F4" w:rsidP="002332F4">
      <w:pPr>
        <w:jc w:val="both"/>
        <w:rPr>
          <w:rFonts w:ascii="Times New Roman" w:hAnsi="Times New Roman" w:cs="Times New Roman"/>
          <w:sz w:val="24"/>
        </w:rPr>
      </w:pPr>
    </w:p>
    <w:p w:rsidR="002332F4" w:rsidRDefault="002332F4" w:rsidP="002332F4">
      <w:pPr>
        <w:jc w:val="both"/>
        <w:rPr>
          <w:rFonts w:ascii="Times New Roman" w:hAnsi="Times New Roman" w:cs="Times New Roman"/>
          <w:sz w:val="24"/>
        </w:rPr>
      </w:pPr>
      <w:r w:rsidRPr="00FA1B17">
        <w:rPr>
          <w:rFonts w:ascii="Times New Roman" w:hAnsi="Times New Roman" w:cs="Times New Roman"/>
          <w:noProof/>
          <w:sz w:val="24"/>
        </w:rPr>
        <w:drawing>
          <wp:inline distT="0" distB="0" distL="0" distR="0" wp14:anchorId="3A2BEFD1" wp14:editId="429BFF5D">
            <wp:extent cx="5921253" cy="340643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3406435"/>
                    </a:xfrm>
                    <a:prstGeom prst="rect">
                      <a:avLst/>
                    </a:prstGeom>
                  </pic:spPr>
                </pic:pic>
              </a:graphicData>
            </a:graphic>
          </wp:inline>
        </w:drawing>
      </w:r>
    </w:p>
    <w:p w:rsidR="002332F4" w:rsidRDefault="002332F4" w:rsidP="002332F4">
      <w:pPr>
        <w:jc w:val="both"/>
        <w:rPr>
          <w:rFonts w:ascii="Times New Roman" w:hAnsi="Times New Roman" w:cs="Times New Roman"/>
          <w:sz w:val="24"/>
        </w:rPr>
      </w:pPr>
      <w:r>
        <w:rPr>
          <w:rFonts w:ascii="Times New Roman" w:hAnsi="Times New Roman" w:cs="Times New Roman"/>
          <w:sz w:val="24"/>
        </w:rPr>
        <w:t>Figure_: Diagonal chat scaled to 1:1. Sweepneet and Bottle trap are based on Log</w:t>
      </w:r>
      <w:r w:rsidRPr="00B5164D">
        <w:rPr>
          <w:rFonts w:ascii="Times New Roman" w:hAnsi="Times New Roman" w:cs="Times New Roman"/>
          <w:sz w:val="24"/>
          <w:vertAlign w:val="subscript"/>
        </w:rPr>
        <w:t>10</w:t>
      </w:r>
      <w:r>
        <w:rPr>
          <w:rFonts w:ascii="Times New Roman" w:hAnsi="Times New Roman" w:cs="Times New Roman"/>
          <w:sz w:val="24"/>
        </w:rPr>
        <w:t xml:space="preserve"> (X +1) transformation of the fly abundance for each species, with the monotonicity of the species preserved. Where species abundance matches a 1:1 ratio for both collection method, the species are seen on the diagonal (broken red) line.</w:t>
      </w:r>
      <w:r w:rsidR="003E5643">
        <w:rPr>
          <w:rFonts w:ascii="Times New Roman" w:hAnsi="Times New Roman" w:cs="Times New Roman"/>
          <w:sz w:val="24"/>
        </w:rPr>
        <w:t xml:space="preserve"> </w:t>
      </w:r>
      <w:proofErr w:type="spellStart"/>
      <w:r w:rsidR="003E5643" w:rsidRPr="003E5643">
        <w:rPr>
          <w:rFonts w:ascii="Times New Roman" w:hAnsi="Times New Roman" w:cs="Times New Roman"/>
          <w:i/>
          <w:sz w:val="24"/>
        </w:rPr>
        <w:t>Fannia</w:t>
      </w:r>
      <w:proofErr w:type="spellEnd"/>
      <w:r w:rsidR="003E5643" w:rsidRPr="003E5643">
        <w:rPr>
          <w:rFonts w:ascii="Times New Roman" w:hAnsi="Times New Roman" w:cs="Times New Roman"/>
          <w:i/>
          <w:sz w:val="24"/>
        </w:rPr>
        <w:t xml:space="preserve"> </w:t>
      </w:r>
      <w:proofErr w:type="spellStart"/>
      <w:r w:rsidR="003E5643" w:rsidRPr="003E5643">
        <w:rPr>
          <w:rFonts w:ascii="Times New Roman" w:hAnsi="Times New Roman" w:cs="Times New Roman"/>
          <w:i/>
          <w:sz w:val="24"/>
        </w:rPr>
        <w:t>canicularis</w:t>
      </w:r>
      <w:proofErr w:type="spellEnd"/>
      <w:r w:rsidR="003E5643">
        <w:rPr>
          <w:rFonts w:ascii="Times New Roman" w:hAnsi="Times New Roman" w:cs="Times New Roman"/>
          <w:sz w:val="24"/>
        </w:rPr>
        <w:t xml:space="preserve"> was intentionally not considered for this plot because the sample size is less </w:t>
      </w:r>
      <w:r w:rsidR="00522A92">
        <w:rPr>
          <w:rFonts w:ascii="Times New Roman" w:hAnsi="Times New Roman" w:cs="Times New Roman"/>
          <w:sz w:val="24"/>
        </w:rPr>
        <w:t>than 2</w:t>
      </w:r>
      <w:r w:rsidR="003E5643">
        <w:rPr>
          <w:rFonts w:ascii="Times New Roman" w:hAnsi="Times New Roman" w:cs="Times New Roman"/>
          <w:sz w:val="24"/>
        </w:rPr>
        <w:t>.</w:t>
      </w:r>
    </w:p>
    <w:p w:rsidR="002332F4" w:rsidRDefault="002332F4" w:rsidP="002332F4">
      <w:pPr>
        <w:jc w:val="both"/>
        <w:rPr>
          <w:rFonts w:ascii="Times New Roman" w:hAnsi="Times New Roman" w:cs="Times New Roman"/>
          <w:sz w:val="24"/>
        </w:rPr>
      </w:pPr>
    </w:p>
    <w:p w:rsidR="002332F4" w:rsidRDefault="002332F4" w:rsidP="002332F4">
      <w:pPr>
        <w:jc w:val="both"/>
        <w:rPr>
          <w:rFonts w:ascii="Times New Roman" w:hAnsi="Times New Roman" w:cs="Times New Roman"/>
          <w:sz w:val="24"/>
        </w:rPr>
      </w:pPr>
      <w:r w:rsidRPr="00837B38">
        <w:rPr>
          <w:rFonts w:ascii="Times New Roman" w:hAnsi="Times New Roman" w:cs="Times New Roman"/>
          <w:noProof/>
          <w:sz w:val="24"/>
        </w:rPr>
        <w:lastRenderedPageBreak/>
        <w:drawing>
          <wp:inline distT="0" distB="0" distL="0" distR="0" wp14:anchorId="75A075D6" wp14:editId="27D597E4">
            <wp:extent cx="5943600" cy="3428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8365"/>
                    </a:xfrm>
                    <a:prstGeom prst="rect">
                      <a:avLst/>
                    </a:prstGeom>
                  </pic:spPr>
                </pic:pic>
              </a:graphicData>
            </a:graphic>
          </wp:inline>
        </w:drawing>
      </w:r>
    </w:p>
    <w:p w:rsidR="002332F4" w:rsidRDefault="002332F4" w:rsidP="002332F4">
      <w:pPr>
        <w:jc w:val="both"/>
        <w:rPr>
          <w:rFonts w:ascii="Times New Roman" w:hAnsi="Times New Roman" w:cs="Times New Roman"/>
          <w:sz w:val="24"/>
        </w:rPr>
      </w:pPr>
      <w:r>
        <w:rPr>
          <w:rFonts w:ascii="Times New Roman" w:hAnsi="Times New Roman" w:cs="Times New Roman"/>
          <w:sz w:val="24"/>
        </w:rPr>
        <w:t xml:space="preserve">Figure _:  Diagonal chat scaled to 1:1. </w:t>
      </w:r>
      <w:proofErr w:type="spellStart"/>
      <w:r w:rsidR="000D0640">
        <w:rPr>
          <w:rFonts w:ascii="Times New Roman" w:hAnsi="Times New Roman" w:cs="Times New Roman"/>
          <w:sz w:val="24"/>
        </w:rPr>
        <w:t>Sweepnet</w:t>
      </w:r>
      <w:proofErr w:type="spellEnd"/>
      <w:r>
        <w:rPr>
          <w:rFonts w:ascii="Times New Roman" w:hAnsi="Times New Roman" w:cs="Times New Roman"/>
          <w:sz w:val="24"/>
        </w:rPr>
        <w:t xml:space="preserve"> and Bottle trap are based on the relative abundance (0-1) of the fly species abundance in each collection method. </w:t>
      </w:r>
      <w:r w:rsidRPr="002F70A0">
        <w:rPr>
          <w:rFonts w:ascii="Times New Roman" w:hAnsi="Times New Roman" w:cs="Times New Roman"/>
          <w:i/>
          <w:sz w:val="24"/>
        </w:rPr>
        <w:t xml:space="preserve">Musca </w:t>
      </w:r>
      <w:proofErr w:type="spellStart"/>
      <w:r w:rsidRPr="002F70A0">
        <w:rPr>
          <w:rFonts w:ascii="Times New Roman" w:hAnsi="Times New Roman" w:cs="Times New Roman"/>
          <w:i/>
          <w:sz w:val="24"/>
        </w:rPr>
        <w:t>domestica</w:t>
      </w:r>
      <w:proofErr w:type="spellEnd"/>
      <w:r>
        <w:rPr>
          <w:rFonts w:ascii="Times New Roman" w:hAnsi="Times New Roman" w:cs="Times New Roman"/>
          <w:sz w:val="24"/>
        </w:rPr>
        <w:t xml:space="preserve"> was factored by 0.1, due to the high relative abundance it occupies in both the </w:t>
      </w:r>
      <w:proofErr w:type="spellStart"/>
      <w:r>
        <w:rPr>
          <w:rFonts w:ascii="Times New Roman" w:hAnsi="Times New Roman" w:cs="Times New Roman"/>
          <w:sz w:val="24"/>
        </w:rPr>
        <w:t>sweepnet</w:t>
      </w:r>
      <w:proofErr w:type="spellEnd"/>
      <w:r>
        <w:rPr>
          <w:rFonts w:ascii="Times New Roman" w:hAnsi="Times New Roman" w:cs="Times New Roman"/>
          <w:sz w:val="24"/>
        </w:rPr>
        <w:t xml:space="preserve"> and bottle trap samples—monotonicity of the species data is preserved. Where species relative abundance matches a 1:1 ratio in both collection </w:t>
      </w:r>
      <w:r w:rsidR="000D0640">
        <w:rPr>
          <w:rFonts w:ascii="Times New Roman" w:hAnsi="Times New Roman" w:cs="Times New Roman"/>
          <w:sz w:val="24"/>
        </w:rPr>
        <w:t>methods</w:t>
      </w:r>
      <w:r>
        <w:rPr>
          <w:rFonts w:ascii="Times New Roman" w:hAnsi="Times New Roman" w:cs="Times New Roman"/>
          <w:sz w:val="24"/>
        </w:rPr>
        <w:t>, the species are seen on the diagonal (broken red) line.</w:t>
      </w:r>
      <w:r w:rsidR="00740A54">
        <w:rPr>
          <w:rFonts w:ascii="Times New Roman" w:hAnsi="Times New Roman" w:cs="Times New Roman"/>
          <w:sz w:val="24"/>
        </w:rPr>
        <w:t xml:space="preserve"> </w:t>
      </w:r>
      <w:proofErr w:type="spellStart"/>
      <w:r w:rsidR="00740A54" w:rsidRPr="003E5643">
        <w:rPr>
          <w:rFonts w:ascii="Times New Roman" w:hAnsi="Times New Roman" w:cs="Times New Roman"/>
          <w:i/>
          <w:sz w:val="24"/>
        </w:rPr>
        <w:t>Fannia</w:t>
      </w:r>
      <w:proofErr w:type="spellEnd"/>
      <w:r w:rsidR="00740A54" w:rsidRPr="003E5643">
        <w:rPr>
          <w:rFonts w:ascii="Times New Roman" w:hAnsi="Times New Roman" w:cs="Times New Roman"/>
          <w:i/>
          <w:sz w:val="24"/>
        </w:rPr>
        <w:t xml:space="preserve"> </w:t>
      </w:r>
      <w:proofErr w:type="spellStart"/>
      <w:r w:rsidR="00740A54" w:rsidRPr="003E5643">
        <w:rPr>
          <w:rFonts w:ascii="Times New Roman" w:hAnsi="Times New Roman" w:cs="Times New Roman"/>
          <w:i/>
          <w:sz w:val="24"/>
        </w:rPr>
        <w:t>canicularis</w:t>
      </w:r>
      <w:proofErr w:type="spellEnd"/>
      <w:r w:rsidR="00740A54">
        <w:rPr>
          <w:rFonts w:ascii="Times New Roman" w:hAnsi="Times New Roman" w:cs="Times New Roman"/>
          <w:sz w:val="24"/>
        </w:rPr>
        <w:t xml:space="preserve"> was intentionally not considered for this plot because the sample size is less than 3.</w:t>
      </w:r>
    </w:p>
    <w:p w:rsidR="00DD00CF" w:rsidRDefault="00DD00CF" w:rsidP="002332F4">
      <w:pPr>
        <w:jc w:val="both"/>
        <w:rPr>
          <w:rFonts w:ascii="Times New Roman" w:hAnsi="Times New Roman" w:cs="Times New Roman"/>
          <w:sz w:val="24"/>
        </w:rPr>
      </w:pPr>
    </w:p>
    <w:p w:rsidR="009D4492" w:rsidRDefault="009D4492" w:rsidP="00C055FC">
      <w:pPr>
        <w:jc w:val="both"/>
        <w:rPr>
          <w:rFonts w:ascii="Times New Roman" w:hAnsi="Times New Roman" w:cs="Times New Roman"/>
          <w:sz w:val="24"/>
        </w:rPr>
      </w:pPr>
    </w:p>
    <w:p w:rsidR="003627C3" w:rsidRDefault="00655DED" w:rsidP="00C055FC">
      <w:pPr>
        <w:jc w:val="both"/>
        <w:rPr>
          <w:rFonts w:ascii="Times New Roman" w:hAnsi="Times New Roman" w:cs="Times New Roman"/>
          <w:sz w:val="24"/>
        </w:rPr>
      </w:pPr>
      <w:r>
        <w:rPr>
          <w:rFonts w:ascii="Times New Roman" w:hAnsi="Times New Roman" w:cs="Times New Roman"/>
          <w:sz w:val="24"/>
        </w:rPr>
        <w:t>Comparing distance with community composition, there was no significant effect (Mantel statistic r: 0.047, p=</w:t>
      </w:r>
      <w:r w:rsidRPr="00655DED">
        <w:rPr>
          <w:rFonts w:ascii="Times New Roman" w:hAnsi="Times New Roman" w:cs="Times New Roman"/>
          <w:sz w:val="24"/>
        </w:rPr>
        <w:t>0.089</w:t>
      </w:r>
      <w:r>
        <w:rPr>
          <w:rFonts w:ascii="Times New Roman" w:hAnsi="Times New Roman" w:cs="Times New Roman"/>
          <w:sz w:val="24"/>
        </w:rPr>
        <w:t>), meaning that across distance, the community composition did not change significantly with increasing distance.</w:t>
      </w:r>
      <w:r w:rsidRPr="00655DED">
        <w:rPr>
          <w:rFonts w:ascii="Times New Roman" w:hAnsi="Times New Roman" w:cs="Times New Roman"/>
          <w:sz w:val="24"/>
        </w:rPr>
        <w:t xml:space="preserve"> </w:t>
      </w:r>
      <w:r w:rsidR="00B50502">
        <w:rPr>
          <w:rFonts w:ascii="Times New Roman" w:hAnsi="Times New Roman" w:cs="Times New Roman"/>
          <w:sz w:val="24"/>
        </w:rPr>
        <w:t xml:space="preserve">Longitudinally, there was a non-significant negative relationship between the community similarity and longitudinal distance. Communities become more dissimilar with increasing </w:t>
      </w:r>
      <w:r w:rsidR="00C055FC">
        <w:rPr>
          <w:rFonts w:ascii="Times New Roman" w:hAnsi="Times New Roman" w:cs="Times New Roman"/>
          <w:sz w:val="24"/>
        </w:rPr>
        <w:t>longitudinal</w:t>
      </w:r>
      <w:r w:rsidR="00B50502">
        <w:rPr>
          <w:rFonts w:ascii="Times New Roman" w:hAnsi="Times New Roman" w:cs="Times New Roman"/>
          <w:sz w:val="24"/>
        </w:rPr>
        <w:t xml:space="preserve"> distance, but this was not significant according to Mantel’s test (Mantel statistic</w:t>
      </w:r>
      <w:r w:rsidR="00DD57A8">
        <w:rPr>
          <w:rFonts w:ascii="Times New Roman" w:hAnsi="Times New Roman" w:cs="Times New Roman"/>
          <w:sz w:val="24"/>
        </w:rPr>
        <w:t>:</w:t>
      </w:r>
      <w:r w:rsidR="00B50502">
        <w:rPr>
          <w:rFonts w:ascii="Times New Roman" w:hAnsi="Times New Roman" w:cs="Times New Roman"/>
          <w:sz w:val="24"/>
        </w:rPr>
        <w:t xml:space="preserve"> r= -0.071, p=</w:t>
      </w:r>
      <w:r w:rsidR="00B50502" w:rsidRPr="00B50502">
        <w:rPr>
          <w:rFonts w:ascii="Times New Roman" w:hAnsi="Times New Roman" w:cs="Times New Roman"/>
          <w:sz w:val="24"/>
        </w:rPr>
        <w:t xml:space="preserve"> 0.977</w:t>
      </w:r>
      <w:r w:rsidR="00B50502">
        <w:rPr>
          <w:rFonts w:ascii="Times New Roman" w:hAnsi="Times New Roman" w:cs="Times New Roman"/>
          <w:sz w:val="24"/>
        </w:rPr>
        <w:t>)</w:t>
      </w:r>
      <w:r w:rsidR="002F765B">
        <w:rPr>
          <w:rFonts w:ascii="Times New Roman" w:hAnsi="Times New Roman" w:cs="Times New Roman"/>
          <w:sz w:val="24"/>
        </w:rPr>
        <w:t>.</w:t>
      </w:r>
      <w:r w:rsidR="00685206">
        <w:rPr>
          <w:rFonts w:ascii="Times New Roman" w:hAnsi="Times New Roman" w:cs="Times New Roman"/>
          <w:sz w:val="24"/>
        </w:rPr>
        <w:t xml:space="preserve"> </w:t>
      </w:r>
    </w:p>
    <w:p w:rsidR="00B50502" w:rsidRDefault="00B50502" w:rsidP="00C055FC">
      <w:pPr>
        <w:jc w:val="both"/>
        <w:rPr>
          <w:rFonts w:ascii="Times New Roman" w:hAnsi="Times New Roman" w:cs="Times New Roman"/>
          <w:sz w:val="24"/>
        </w:rPr>
      </w:pPr>
    </w:p>
    <w:p w:rsidR="003627C3" w:rsidRDefault="003627C3" w:rsidP="00C055FC">
      <w:pPr>
        <w:jc w:val="both"/>
        <w:rPr>
          <w:rFonts w:ascii="Times New Roman" w:hAnsi="Times New Roman" w:cs="Times New Roman"/>
          <w:sz w:val="24"/>
        </w:rPr>
      </w:pPr>
    </w:p>
    <w:p w:rsidR="003627C3" w:rsidRDefault="003627C3" w:rsidP="00C055FC">
      <w:pPr>
        <w:jc w:val="both"/>
        <w:rPr>
          <w:rFonts w:ascii="Times New Roman" w:hAnsi="Times New Roman" w:cs="Times New Roman"/>
          <w:sz w:val="24"/>
        </w:rPr>
      </w:pPr>
      <w:r w:rsidRPr="003627C3">
        <w:rPr>
          <w:rFonts w:ascii="Times New Roman" w:hAnsi="Times New Roman" w:cs="Times New Roman"/>
          <w:noProof/>
          <w:sz w:val="24"/>
        </w:rPr>
        <w:lastRenderedPageBreak/>
        <w:drawing>
          <wp:inline distT="0" distB="0" distL="0" distR="0" wp14:anchorId="11F1EB19" wp14:editId="3D433144">
            <wp:extent cx="4476750" cy="22592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786"/>
                    <a:stretch/>
                  </pic:blipFill>
                  <pic:spPr bwMode="auto">
                    <a:xfrm>
                      <a:off x="0" y="0"/>
                      <a:ext cx="4497704" cy="2269775"/>
                    </a:xfrm>
                    <a:prstGeom prst="rect">
                      <a:avLst/>
                    </a:prstGeom>
                    <a:ln>
                      <a:noFill/>
                    </a:ln>
                    <a:extLst>
                      <a:ext uri="{53640926-AAD7-44D8-BBD7-CCE9431645EC}">
                        <a14:shadowObscured xmlns:a14="http://schemas.microsoft.com/office/drawing/2010/main"/>
                      </a:ext>
                    </a:extLst>
                  </pic:spPr>
                </pic:pic>
              </a:graphicData>
            </a:graphic>
          </wp:inline>
        </w:drawing>
      </w:r>
    </w:p>
    <w:p w:rsidR="003627C3" w:rsidRDefault="003627C3" w:rsidP="00C055FC">
      <w:pPr>
        <w:jc w:val="both"/>
        <w:rPr>
          <w:rFonts w:ascii="Times New Roman" w:hAnsi="Times New Roman" w:cs="Times New Roman"/>
          <w:sz w:val="24"/>
        </w:rPr>
      </w:pPr>
      <w:r>
        <w:rPr>
          <w:rFonts w:ascii="Times New Roman" w:hAnsi="Times New Roman" w:cs="Times New Roman"/>
          <w:sz w:val="24"/>
        </w:rPr>
        <w:t>Figure 2: Latitudinal distance decay of fly community (Jaccard) similarity. The red line shows the trend line with 95% confidence intervals.</w:t>
      </w:r>
    </w:p>
    <w:p w:rsidR="00B50502" w:rsidRDefault="00B50502" w:rsidP="00C055FC">
      <w:pPr>
        <w:jc w:val="both"/>
        <w:rPr>
          <w:rFonts w:ascii="Times New Roman" w:hAnsi="Times New Roman" w:cs="Times New Roman"/>
          <w:sz w:val="24"/>
        </w:rPr>
      </w:pPr>
    </w:p>
    <w:p w:rsidR="00B50502" w:rsidRPr="00C21288" w:rsidRDefault="00B50502" w:rsidP="00C055FC">
      <w:pPr>
        <w:jc w:val="both"/>
        <w:rPr>
          <w:rFonts w:ascii="Times New Roman" w:hAnsi="Times New Roman" w:cs="Times New Roman"/>
          <w:sz w:val="24"/>
        </w:rPr>
      </w:pPr>
    </w:p>
    <w:p w:rsidR="00D02FAC" w:rsidRPr="00C21288" w:rsidRDefault="005870BE" w:rsidP="00C055FC">
      <w:pPr>
        <w:jc w:val="both"/>
        <w:rPr>
          <w:rFonts w:ascii="Times New Roman" w:hAnsi="Times New Roman" w:cs="Times New Roman"/>
          <w:sz w:val="24"/>
        </w:rPr>
      </w:pPr>
      <w:r w:rsidRPr="00C21288">
        <w:rPr>
          <w:rFonts w:ascii="Times New Roman" w:hAnsi="Times New Roman" w:cs="Times New Roman"/>
          <w:noProof/>
          <w:sz w:val="24"/>
        </w:rPr>
        <w:drawing>
          <wp:inline distT="0" distB="0" distL="0" distR="0" wp14:anchorId="4067BC6B" wp14:editId="66B41B00">
            <wp:extent cx="5448308" cy="3422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642" cy="3422283"/>
                    </a:xfrm>
                    <a:prstGeom prst="rect">
                      <a:avLst/>
                    </a:prstGeom>
                  </pic:spPr>
                </pic:pic>
              </a:graphicData>
            </a:graphic>
          </wp:inline>
        </w:drawing>
      </w:r>
    </w:p>
    <w:p w:rsidR="00351849" w:rsidRDefault="00A86640" w:rsidP="00C055FC">
      <w:pPr>
        <w:jc w:val="both"/>
        <w:rPr>
          <w:rFonts w:ascii="Times New Roman" w:hAnsi="Times New Roman" w:cs="Times New Roman"/>
          <w:sz w:val="24"/>
        </w:rPr>
      </w:pPr>
      <w:r>
        <w:rPr>
          <w:rFonts w:ascii="Times New Roman" w:hAnsi="Times New Roman" w:cs="Times New Roman"/>
          <w:sz w:val="24"/>
        </w:rPr>
        <w:t xml:space="preserve">Figure_: </w:t>
      </w:r>
      <w:r w:rsidR="002A0B7A" w:rsidRPr="002A0B7A">
        <w:rPr>
          <w:rFonts w:ascii="Times New Roman" w:hAnsi="Times New Roman" w:cs="Times New Roman"/>
          <w:sz w:val="24"/>
        </w:rPr>
        <w:t xml:space="preserve">NMDS ordination of hover fly species assemblages based on two </w:t>
      </w:r>
      <w:r w:rsidR="00222B0F">
        <w:rPr>
          <w:rFonts w:ascii="Times New Roman" w:hAnsi="Times New Roman" w:cs="Times New Roman"/>
          <w:sz w:val="24"/>
        </w:rPr>
        <w:t xml:space="preserve">eating areas </w:t>
      </w:r>
      <w:r w:rsidR="002A0B7A" w:rsidRPr="002A0B7A">
        <w:rPr>
          <w:rFonts w:ascii="Times New Roman" w:hAnsi="Times New Roman" w:cs="Times New Roman"/>
          <w:sz w:val="24"/>
        </w:rPr>
        <w:t>(</w:t>
      </w:r>
      <w:r w:rsidR="002A0B7A">
        <w:rPr>
          <w:rFonts w:ascii="Times New Roman" w:hAnsi="Times New Roman" w:cs="Times New Roman"/>
          <w:sz w:val="24"/>
        </w:rPr>
        <w:t>Eatery</w:t>
      </w:r>
      <w:r w:rsidR="002A0B7A" w:rsidRPr="002A0B7A">
        <w:rPr>
          <w:rFonts w:ascii="Times New Roman" w:hAnsi="Times New Roman" w:cs="Times New Roman"/>
          <w:sz w:val="24"/>
        </w:rPr>
        <w:t xml:space="preserve"> and </w:t>
      </w:r>
      <w:r w:rsidR="002A0B7A">
        <w:rPr>
          <w:rFonts w:ascii="Times New Roman" w:hAnsi="Times New Roman" w:cs="Times New Roman"/>
          <w:sz w:val="24"/>
        </w:rPr>
        <w:t>Tavern</w:t>
      </w:r>
      <w:r w:rsidR="002A0B7A" w:rsidRPr="002A0B7A">
        <w:rPr>
          <w:rFonts w:ascii="Times New Roman" w:hAnsi="Times New Roman" w:cs="Times New Roman"/>
          <w:sz w:val="24"/>
        </w:rPr>
        <w:t xml:space="preserve">), using </w:t>
      </w:r>
      <w:r w:rsidR="002A0B7A">
        <w:rPr>
          <w:rFonts w:ascii="Times New Roman" w:hAnsi="Times New Roman" w:cs="Times New Roman"/>
          <w:sz w:val="24"/>
        </w:rPr>
        <w:t>Bray-Curtis similarity (stress = 0.</w:t>
      </w:r>
      <w:r w:rsidR="0027109E">
        <w:rPr>
          <w:rFonts w:ascii="Times New Roman" w:hAnsi="Times New Roman" w:cs="Times New Roman"/>
          <w:sz w:val="24"/>
        </w:rPr>
        <w:t>12</w:t>
      </w:r>
      <w:r w:rsidR="002A0B7A">
        <w:rPr>
          <w:rFonts w:ascii="Times New Roman" w:hAnsi="Times New Roman" w:cs="Times New Roman"/>
          <w:sz w:val="24"/>
        </w:rPr>
        <w:t>; 9</w:t>
      </w:r>
      <w:r w:rsidR="002A0B7A" w:rsidRPr="002A0B7A">
        <w:rPr>
          <w:rFonts w:ascii="Times New Roman" w:hAnsi="Times New Roman" w:cs="Times New Roman"/>
          <w:sz w:val="24"/>
        </w:rPr>
        <w:t xml:space="preserve">999 permutations). Ellipses represent 90% confidence intervals around groupings by collection method. Each point corresponds </w:t>
      </w:r>
      <w:r w:rsidR="000D0640">
        <w:rPr>
          <w:rFonts w:ascii="Times New Roman" w:hAnsi="Times New Roman" w:cs="Times New Roman"/>
          <w:sz w:val="24"/>
        </w:rPr>
        <w:t>to a sampling location (N = 52</w:t>
      </w:r>
      <w:r w:rsidR="00133151">
        <w:rPr>
          <w:rFonts w:ascii="Times New Roman" w:hAnsi="Times New Roman" w:cs="Times New Roman"/>
          <w:sz w:val="24"/>
        </w:rPr>
        <w:t>; Tavern: 40, Eatery: 12</w:t>
      </w:r>
      <w:r w:rsidR="000D0640">
        <w:rPr>
          <w:rFonts w:ascii="Times New Roman" w:hAnsi="Times New Roman" w:cs="Times New Roman"/>
          <w:sz w:val="24"/>
        </w:rPr>
        <w:t>).</w:t>
      </w:r>
      <w:r w:rsidR="0027109E">
        <w:rPr>
          <w:rFonts w:ascii="Times New Roman" w:hAnsi="Times New Roman" w:cs="Times New Roman"/>
          <w:sz w:val="24"/>
        </w:rPr>
        <w:t xml:space="preserve"> Species are represented according to their NMDS score</w:t>
      </w:r>
      <w:r w:rsidR="007D22B2">
        <w:rPr>
          <w:rFonts w:ascii="Times New Roman" w:hAnsi="Times New Roman" w:cs="Times New Roman"/>
          <w:sz w:val="24"/>
        </w:rPr>
        <w:t xml:space="preserve">, </w:t>
      </w:r>
      <w:r w:rsidR="0027109E">
        <w:rPr>
          <w:rFonts w:ascii="Times New Roman" w:hAnsi="Times New Roman" w:cs="Times New Roman"/>
          <w:sz w:val="24"/>
        </w:rPr>
        <w:t>with similarly occurring species occurring closely in the NMDS ordination.</w:t>
      </w:r>
    </w:p>
    <w:p w:rsidR="00321C34" w:rsidRDefault="00D7292E" w:rsidP="00321C34">
      <w:pPr>
        <w:pStyle w:val="NormalWeb"/>
        <w:jc w:val="both"/>
      </w:pPr>
      <w:r w:rsidRPr="00D7292E">
        <w:lastRenderedPageBreak/>
        <w:t>Fly community composition differed significantly across sampling locations categorized by site (Eatery and Tavern). PERMANOVA indicated a highly significant effect (p &lt; 0.001), with site accounting for approximately 30.5% of the total variation in community composition. The non-significant result from the test for homogeneity</w:t>
      </w:r>
      <w:r w:rsidR="008F089E">
        <w:t xml:space="preserve"> of group dispersions (PERMDISP; F=</w:t>
      </w:r>
      <w:r w:rsidR="008F089E" w:rsidRPr="008F089E">
        <w:t>0.1068</w:t>
      </w:r>
      <w:r w:rsidR="008F089E">
        <w:t>,</w:t>
      </w:r>
      <w:r w:rsidRPr="00D7292E">
        <w:t xml:space="preserve"> p = 0.75)</w:t>
      </w:r>
      <w:r>
        <w:t xml:space="preserve"> </w:t>
      </w:r>
      <w:r w:rsidRPr="00D7292E">
        <w:t>suggests that this difference is unlikely to be influenced by variation in within-group dispersion.</w:t>
      </w:r>
      <w:r w:rsidR="00222B0F">
        <w:t xml:space="preserve"> </w:t>
      </w:r>
      <w:r w:rsidR="00321C34">
        <w:t xml:space="preserve">Additionally, the NMDS plot (Figure _) reveals a visible spread of species across the ordination space. However, species abundances were highly skewed, with </w:t>
      </w:r>
      <w:r w:rsidR="00321C34">
        <w:rPr>
          <w:rStyle w:val="Emphasis"/>
        </w:rPr>
        <w:t xml:space="preserve">M. </w:t>
      </w:r>
      <w:proofErr w:type="spellStart"/>
      <w:r w:rsidR="00321C34">
        <w:rPr>
          <w:rStyle w:val="Emphasis"/>
        </w:rPr>
        <w:t>domestica</w:t>
      </w:r>
      <w:proofErr w:type="spellEnd"/>
      <w:r w:rsidR="00321C34">
        <w:t xml:space="preserve"> and the two </w:t>
      </w:r>
      <w:proofErr w:type="spellStart"/>
      <w:r w:rsidR="00321C34">
        <w:rPr>
          <w:rStyle w:val="Emphasis"/>
        </w:rPr>
        <w:t>Phaenicia</w:t>
      </w:r>
      <w:proofErr w:type="spellEnd"/>
      <w:r w:rsidR="00321C34">
        <w:t xml:space="preserve"> species overwhelmingly dominating the samples. This pronounced dominance may compromise the interpretability of the positions of </w:t>
      </w:r>
      <w:r w:rsidR="00321C34">
        <w:rPr>
          <w:rStyle w:val="Emphasis"/>
        </w:rPr>
        <w:t>Drosophila</w:t>
      </w:r>
      <w:r w:rsidR="00321C34">
        <w:t xml:space="preserve"> spp. and </w:t>
      </w:r>
      <w:proofErr w:type="spellStart"/>
      <w:r w:rsidR="00321C34">
        <w:rPr>
          <w:rStyle w:val="Emphasis"/>
        </w:rPr>
        <w:t>Fannia</w:t>
      </w:r>
      <w:proofErr w:type="spellEnd"/>
      <w:r w:rsidR="00321C34">
        <w:rPr>
          <w:rStyle w:val="Emphasis"/>
        </w:rPr>
        <w:t xml:space="preserve"> </w:t>
      </w:r>
      <w:proofErr w:type="spellStart"/>
      <w:r w:rsidR="00321C34">
        <w:rPr>
          <w:rStyle w:val="Emphasis"/>
        </w:rPr>
        <w:t>canicularis</w:t>
      </w:r>
      <w:proofErr w:type="spellEnd"/>
      <w:r w:rsidR="00321C34">
        <w:t xml:space="preserve"> in the plot, as their distant placement may not accurately reflect true co-occurrence patterns due to</w:t>
      </w:r>
      <w:r w:rsidR="00321C34">
        <w:t xml:space="preserve"> their extremely low abundances in this study.</w:t>
      </w:r>
    </w:p>
    <w:p w:rsidR="00812264" w:rsidRPr="00812264" w:rsidRDefault="00115F24" w:rsidP="00812264">
      <w:pPr>
        <w:jc w:val="both"/>
        <w:rPr>
          <w:rFonts w:ascii="Times New Roman" w:hAnsi="Times New Roman" w:cs="Times New Roman"/>
          <w:sz w:val="24"/>
        </w:rPr>
      </w:pPr>
      <w:r w:rsidRPr="00115F24">
        <w:rPr>
          <w:rFonts w:ascii="Times New Roman" w:hAnsi="Times New Roman" w:cs="Times New Roman"/>
          <w:sz w:val="24"/>
        </w:rPr>
        <w:t>Fly community composition differed significantly between collection methods (Bottle trap vs Sweep net), as revealed by PERMANOVA (</w:t>
      </w:r>
      <w:r>
        <w:rPr>
          <w:rFonts w:ascii="Times New Roman" w:hAnsi="Times New Roman" w:cs="Times New Roman"/>
          <w:sz w:val="24"/>
        </w:rPr>
        <w:t>F=</w:t>
      </w:r>
      <w:r w:rsidRPr="00115F24">
        <w:rPr>
          <w:rFonts w:ascii="Times New Roman" w:hAnsi="Times New Roman" w:cs="Times New Roman"/>
          <w:sz w:val="24"/>
        </w:rPr>
        <w:t>8.2962</w:t>
      </w:r>
      <w:r>
        <w:rPr>
          <w:rFonts w:ascii="Times New Roman" w:hAnsi="Times New Roman" w:cs="Times New Roman"/>
          <w:sz w:val="24"/>
        </w:rPr>
        <w:t xml:space="preserve">, </w:t>
      </w:r>
      <w:r w:rsidRPr="00115F24">
        <w:rPr>
          <w:rFonts w:ascii="Times New Roman" w:hAnsi="Times New Roman" w:cs="Times New Roman"/>
          <w:sz w:val="24"/>
        </w:rPr>
        <w:t xml:space="preserve">p &lt; 0.001), with method accounting for approximately 14.2% of the variation in community structure. The test for homogeneity of multivariate dispersions (PERMDISP) was not significant </w:t>
      </w:r>
      <w:r w:rsidR="00A86640" w:rsidRPr="00115F24">
        <w:rPr>
          <w:rFonts w:ascii="Times New Roman" w:hAnsi="Times New Roman" w:cs="Times New Roman"/>
          <w:sz w:val="24"/>
        </w:rPr>
        <w:t>(</w:t>
      </w:r>
      <w:r w:rsidR="00A86640">
        <w:rPr>
          <w:rFonts w:ascii="Times New Roman" w:hAnsi="Times New Roman" w:cs="Times New Roman"/>
          <w:sz w:val="24"/>
        </w:rPr>
        <w:t>F</w:t>
      </w:r>
      <w:r>
        <w:rPr>
          <w:rFonts w:ascii="Times New Roman" w:hAnsi="Times New Roman" w:cs="Times New Roman"/>
          <w:sz w:val="24"/>
        </w:rPr>
        <w:t xml:space="preserve">= 0.006, </w:t>
      </w:r>
      <w:r w:rsidRPr="00115F24">
        <w:rPr>
          <w:rFonts w:ascii="Times New Roman" w:hAnsi="Times New Roman" w:cs="Times New Roman"/>
          <w:sz w:val="24"/>
        </w:rPr>
        <w:t>p = 0.94), indicating that this result is not confounded by differences in within-group variability.</w:t>
      </w:r>
    </w:p>
    <w:p w:rsidR="00D7292E" w:rsidRDefault="00812264" w:rsidP="00812264">
      <w:pPr>
        <w:jc w:val="both"/>
        <w:rPr>
          <w:rFonts w:ascii="Times New Roman" w:hAnsi="Times New Roman" w:cs="Times New Roman"/>
          <w:sz w:val="24"/>
        </w:rPr>
      </w:pPr>
      <w:r w:rsidRPr="00812264">
        <w:rPr>
          <w:rFonts w:ascii="Times New Roman" w:hAnsi="Times New Roman" w:cs="Times New Roman"/>
          <w:sz w:val="24"/>
        </w:rPr>
        <w:t>Fly community composition did not differ significantly among sampling sites (Eatery, Kitchen, and Parlor) based on Jaccard dissimila</w:t>
      </w:r>
      <w:r>
        <w:rPr>
          <w:rFonts w:ascii="Times New Roman" w:hAnsi="Times New Roman" w:cs="Times New Roman"/>
          <w:sz w:val="24"/>
        </w:rPr>
        <w:t>rity (PERMANOVA: F = 1.50, p</w:t>
      </w:r>
      <w:r w:rsidRPr="00812264">
        <w:rPr>
          <w:rFonts w:ascii="Times New Roman" w:hAnsi="Times New Roman" w:cs="Times New Roman"/>
          <w:sz w:val="24"/>
        </w:rPr>
        <w:t xml:space="preserve"> = 0.192), with site explaining approximately 5.8% of the total variation. The assumption of homogeneity of multivariate di</w:t>
      </w:r>
      <w:r>
        <w:rPr>
          <w:rFonts w:ascii="Times New Roman" w:hAnsi="Times New Roman" w:cs="Times New Roman"/>
          <w:sz w:val="24"/>
        </w:rPr>
        <w:t>spersions was met (PERMDISP: p</w:t>
      </w:r>
      <w:r w:rsidRPr="00812264">
        <w:rPr>
          <w:rFonts w:ascii="Times New Roman" w:hAnsi="Times New Roman" w:cs="Times New Roman"/>
          <w:sz w:val="24"/>
        </w:rPr>
        <w:t xml:space="preserve"> = 0.678), indicating that within-group variation was comparable across sites. Pairwise comparisons revealed a marginally significant difference in community composition</w:t>
      </w:r>
      <w:r>
        <w:rPr>
          <w:rFonts w:ascii="Times New Roman" w:hAnsi="Times New Roman" w:cs="Times New Roman"/>
          <w:sz w:val="24"/>
        </w:rPr>
        <w:t xml:space="preserve"> between Eatery and Kitchen (p</w:t>
      </w:r>
      <w:r w:rsidRPr="00812264">
        <w:rPr>
          <w:rFonts w:ascii="Times New Roman" w:hAnsi="Times New Roman" w:cs="Times New Roman"/>
          <w:sz w:val="24"/>
        </w:rPr>
        <w:t xml:space="preserve"> = 0.049), though this was not significant after a</w:t>
      </w:r>
      <w:r>
        <w:rPr>
          <w:rFonts w:ascii="Times New Roman" w:hAnsi="Times New Roman" w:cs="Times New Roman"/>
          <w:sz w:val="24"/>
        </w:rPr>
        <w:t>djusting for multiple testing with Bonferroni correction (</w:t>
      </w:r>
      <w:r w:rsidRPr="00812264">
        <w:rPr>
          <w:rFonts w:ascii="Times New Roman" w:hAnsi="Times New Roman" w:cs="Times New Roman"/>
          <w:sz w:val="24"/>
        </w:rPr>
        <w:t>p</w:t>
      </w:r>
      <w:r>
        <w:rPr>
          <w:rFonts w:ascii="Times New Roman" w:hAnsi="Times New Roman" w:cs="Times New Roman"/>
          <w:sz w:val="24"/>
        </w:rPr>
        <w:t>.</w:t>
      </w:r>
      <w:r w:rsidRPr="00812264">
        <w:rPr>
          <w:rFonts w:ascii="Times New Roman" w:hAnsi="Times New Roman" w:cs="Times New Roman"/>
          <w:sz w:val="24"/>
          <w:vertAlign w:val="subscript"/>
        </w:rPr>
        <w:t>adj</w:t>
      </w:r>
      <w:r w:rsidRPr="00812264">
        <w:rPr>
          <w:rFonts w:ascii="Times New Roman" w:hAnsi="Times New Roman" w:cs="Times New Roman"/>
          <w:sz w:val="24"/>
        </w:rPr>
        <w:t xml:space="preserve"> </w:t>
      </w:r>
      <w:r>
        <w:rPr>
          <w:rFonts w:ascii="Times New Roman" w:hAnsi="Times New Roman" w:cs="Times New Roman"/>
          <w:sz w:val="24"/>
        </w:rPr>
        <w:t xml:space="preserve">= </w:t>
      </w:r>
      <w:r w:rsidRPr="00812264">
        <w:rPr>
          <w:rFonts w:ascii="Times New Roman" w:hAnsi="Times New Roman" w:cs="Times New Roman"/>
          <w:sz w:val="24"/>
        </w:rPr>
        <w:t>0.146). No significant differences</w:t>
      </w:r>
      <w:r w:rsidR="00DC2959">
        <w:rPr>
          <w:rFonts w:ascii="Times New Roman" w:hAnsi="Times New Roman" w:cs="Times New Roman"/>
          <w:sz w:val="24"/>
        </w:rPr>
        <w:t xml:space="preserve"> (p&gt; 0.05)</w:t>
      </w:r>
      <w:r w:rsidRPr="00812264">
        <w:rPr>
          <w:rFonts w:ascii="Times New Roman" w:hAnsi="Times New Roman" w:cs="Times New Roman"/>
          <w:sz w:val="24"/>
        </w:rPr>
        <w:t xml:space="preserve"> were detected between other site pairs.</w:t>
      </w:r>
    </w:p>
    <w:p w:rsidR="00812264" w:rsidRDefault="00812264" w:rsidP="00812264">
      <w:pPr>
        <w:jc w:val="both"/>
        <w:rPr>
          <w:rFonts w:ascii="Times New Roman" w:hAnsi="Times New Roman" w:cs="Times New Roman"/>
          <w:sz w:val="24"/>
        </w:rPr>
      </w:pPr>
    </w:p>
    <w:p w:rsidR="00812264" w:rsidRDefault="00812264" w:rsidP="00812264">
      <w:pPr>
        <w:jc w:val="both"/>
        <w:rPr>
          <w:rFonts w:ascii="Times New Roman" w:hAnsi="Times New Roman" w:cs="Times New Roman"/>
          <w:sz w:val="24"/>
        </w:rPr>
      </w:pPr>
    </w:p>
    <w:p w:rsidR="00847A1F" w:rsidRDefault="00036040" w:rsidP="00C055FC">
      <w:pPr>
        <w:jc w:val="both"/>
        <w:rPr>
          <w:rFonts w:ascii="Times New Roman" w:hAnsi="Times New Roman" w:cs="Times New Roman"/>
          <w:sz w:val="24"/>
        </w:rPr>
      </w:pPr>
      <w:r w:rsidRPr="00C21288">
        <w:rPr>
          <w:rFonts w:ascii="Times New Roman" w:hAnsi="Times New Roman" w:cs="Times New Roman"/>
          <w:noProof/>
          <w:sz w:val="24"/>
        </w:rPr>
        <w:lastRenderedPageBreak/>
        <w:drawing>
          <wp:inline distT="0" distB="0" distL="0" distR="0" wp14:anchorId="267CCFCE" wp14:editId="1D3CCE88">
            <wp:extent cx="5209310" cy="36314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667" cy="3636619"/>
                    </a:xfrm>
                    <a:prstGeom prst="rect">
                      <a:avLst/>
                    </a:prstGeom>
                  </pic:spPr>
                </pic:pic>
              </a:graphicData>
            </a:graphic>
          </wp:inline>
        </w:drawing>
      </w:r>
    </w:p>
    <w:p w:rsidR="00D271B5" w:rsidRDefault="00D271B5" w:rsidP="00E754D1">
      <w:pPr>
        <w:pStyle w:val="NormalWeb"/>
        <w:jc w:val="both"/>
      </w:pPr>
      <w:r>
        <w:rPr>
          <w:rStyle w:val="Strong"/>
        </w:rPr>
        <w:t>Figure X:</w:t>
      </w:r>
      <w:r>
        <w:t xml:space="preserve"> NMDS ordination of hover fly species assemblages based on two collection methods (Bottle traps and Sweep nets), using Jaccard similarity (stress = 0.05; 9,999 permutations). Ellipses represent 90% confidence intervals around groupings by collection method. Each point corresponds to a sampling location (</w:t>
      </w:r>
      <w:r>
        <w:rPr>
          <w:rStyle w:val="Emphasis"/>
        </w:rPr>
        <w:t>N</w:t>
      </w:r>
      <w:r>
        <w:t xml:space="preserve"> = 52), with points jittered by 0.04 NMDS units on both axes to improve visual clarity.</w:t>
      </w:r>
    </w:p>
    <w:p w:rsidR="0089386E" w:rsidRDefault="0089386E" w:rsidP="00C055FC">
      <w:pPr>
        <w:jc w:val="both"/>
        <w:rPr>
          <w:rFonts w:ascii="Times New Roman" w:hAnsi="Times New Roman" w:cs="Times New Roman"/>
          <w:sz w:val="24"/>
        </w:rPr>
      </w:pPr>
    </w:p>
    <w:p w:rsidR="00160203" w:rsidRDefault="00160203" w:rsidP="00C055FC">
      <w:pPr>
        <w:jc w:val="both"/>
        <w:rPr>
          <w:rFonts w:ascii="Times New Roman" w:hAnsi="Times New Roman" w:cs="Times New Roman"/>
          <w:sz w:val="24"/>
        </w:rPr>
      </w:pPr>
    </w:p>
    <w:p w:rsidR="00160203" w:rsidRDefault="00160203" w:rsidP="00C055FC">
      <w:pPr>
        <w:jc w:val="both"/>
        <w:rPr>
          <w:rFonts w:ascii="Times New Roman" w:hAnsi="Times New Roman" w:cs="Times New Roman"/>
          <w:sz w:val="24"/>
        </w:rPr>
      </w:pPr>
    </w:p>
    <w:p w:rsidR="00032CD9" w:rsidRDefault="00032CD9" w:rsidP="00C055FC">
      <w:pPr>
        <w:jc w:val="both"/>
        <w:rPr>
          <w:rFonts w:ascii="Times New Roman" w:hAnsi="Times New Roman" w:cs="Times New Roman"/>
          <w:sz w:val="24"/>
        </w:rPr>
      </w:pPr>
    </w:p>
    <w:p w:rsidR="00032CD9" w:rsidRDefault="00032CD9" w:rsidP="00C055FC">
      <w:pPr>
        <w:jc w:val="both"/>
        <w:rPr>
          <w:rFonts w:ascii="Times New Roman" w:hAnsi="Times New Roman" w:cs="Times New Roman"/>
          <w:sz w:val="24"/>
        </w:rPr>
      </w:pPr>
    </w:p>
    <w:p w:rsidR="00160203" w:rsidRDefault="00032CD9" w:rsidP="00C055FC">
      <w:pPr>
        <w:jc w:val="both"/>
        <w:rPr>
          <w:rFonts w:ascii="Times New Roman" w:hAnsi="Times New Roman" w:cs="Times New Roman"/>
          <w:sz w:val="24"/>
        </w:rPr>
      </w:pPr>
      <w:r w:rsidRPr="00032CD9">
        <w:rPr>
          <w:rFonts w:ascii="Times New Roman" w:hAnsi="Times New Roman" w:cs="Times New Roman"/>
          <w:noProof/>
          <w:sz w:val="24"/>
        </w:rPr>
        <w:lastRenderedPageBreak/>
        <w:drawing>
          <wp:inline distT="0" distB="0" distL="0" distR="0" wp14:anchorId="1B9A05B9" wp14:editId="02BA9F2A">
            <wp:extent cx="5943600" cy="327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140"/>
                    </a:xfrm>
                    <a:prstGeom prst="rect">
                      <a:avLst/>
                    </a:prstGeom>
                  </pic:spPr>
                </pic:pic>
              </a:graphicData>
            </a:graphic>
          </wp:inline>
        </w:drawing>
      </w:r>
    </w:p>
    <w:p w:rsidR="00567D90" w:rsidRDefault="00567D90" w:rsidP="00C055FC">
      <w:pPr>
        <w:jc w:val="both"/>
        <w:rPr>
          <w:rFonts w:ascii="Times New Roman" w:hAnsi="Times New Roman" w:cs="Times New Roman"/>
          <w:sz w:val="24"/>
        </w:rPr>
      </w:pPr>
    </w:p>
    <w:p w:rsidR="00F07F22" w:rsidRDefault="00F07F22" w:rsidP="00F07F22">
      <w:pPr>
        <w:pStyle w:val="NormalWeb"/>
        <w:jc w:val="both"/>
      </w:pPr>
      <w:r>
        <w:rPr>
          <w:rStyle w:val="Strong"/>
        </w:rPr>
        <w:t>Figure 1:</w:t>
      </w:r>
      <w:r>
        <w:t xml:space="preserve"> NMDS ordination of hover fly species assemblages across three sites</w:t>
      </w:r>
      <w:r w:rsidR="0089386E">
        <w:t xml:space="preserve"> (Eatery, Kitchen and Parlor of Taverns)</w:t>
      </w:r>
      <w:r>
        <w:t>, based on Jacca</w:t>
      </w:r>
      <w:r w:rsidR="0016175A">
        <w:t>rd similarity (stress = 0.05; 9</w:t>
      </w:r>
      <w:r>
        <w:t>999 permutations).</w:t>
      </w:r>
      <w:r w:rsidR="0089386E">
        <w:t xml:space="preserve"> </w:t>
      </w:r>
      <w:r>
        <w:t xml:space="preserve"> Polygons outline groupings of assemblages by site, while individual scatter points represent sampling locations (</w:t>
      </w:r>
      <w:r>
        <w:rPr>
          <w:rStyle w:val="Emphasis"/>
        </w:rPr>
        <w:t>N</w:t>
      </w:r>
      <w:r>
        <w:t xml:space="preserve"> = 52). To enhance visibility, points have been jittered by 0.09 NMDS units along both axes.</w:t>
      </w:r>
    </w:p>
    <w:p w:rsidR="00567D90" w:rsidRDefault="00632EF6" w:rsidP="00C055FC">
      <w:pPr>
        <w:jc w:val="both"/>
        <w:rPr>
          <w:rFonts w:ascii="Times New Roman" w:hAnsi="Times New Roman" w:cs="Times New Roman"/>
          <w:sz w:val="24"/>
        </w:rPr>
      </w:pPr>
      <w:r>
        <w:rPr>
          <w:rFonts w:ascii="Times New Roman" w:hAnsi="Times New Roman" w:cs="Times New Roman"/>
          <w:sz w:val="24"/>
        </w:rPr>
        <w:t>.</w:t>
      </w:r>
    </w:p>
    <w:p w:rsidR="009E2B9C" w:rsidRDefault="009E2B9C" w:rsidP="00C055FC">
      <w:pPr>
        <w:jc w:val="both"/>
        <w:rPr>
          <w:rFonts w:ascii="Times New Roman" w:hAnsi="Times New Roman" w:cs="Times New Roman"/>
          <w:sz w:val="24"/>
        </w:rPr>
      </w:pPr>
    </w:p>
    <w:p w:rsidR="009E2B9C" w:rsidRDefault="009E2B9C" w:rsidP="00C055FC">
      <w:pPr>
        <w:jc w:val="both"/>
        <w:rPr>
          <w:rFonts w:ascii="Times New Roman" w:hAnsi="Times New Roman" w:cs="Times New Roman"/>
          <w:sz w:val="24"/>
        </w:rPr>
      </w:pPr>
    </w:p>
    <w:sectPr w:rsidR="009E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AC"/>
    <w:rsid w:val="00032CD9"/>
    <w:rsid w:val="00036040"/>
    <w:rsid w:val="0005083A"/>
    <w:rsid w:val="00063961"/>
    <w:rsid w:val="000D0640"/>
    <w:rsid w:val="0010098C"/>
    <w:rsid w:val="00115F24"/>
    <w:rsid w:val="00127921"/>
    <w:rsid w:val="00133151"/>
    <w:rsid w:val="00137F77"/>
    <w:rsid w:val="00160203"/>
    <w:rsid w:val="0016175A"/>
    <w:rsid w:val="00166AAF"/>
    <w:rsid w:val="00173C6A"/>
    <w:rsid w:val="00191B1D"/>
    <w:rsid w:val="001A31F5"/>
    <w:rsid w:val="001C0677"/>
    <w:rsid w:val="001C642B"/>
    <w:rsid w:val="001D7E13"/>
    <w:rsid w:val="00222B0F"/>
    <w:rsid w:val="00231D2C"/>
    <w:rsid w:val="002332F4"/>
    <w:rsid w:val="00251ACD"/>
    <w:rsid w:val="00253EC3"/>
    <w:rsid w:val="0027109E"/>
    <w:rsid w:val="00277E1D"/>
    <w:rsid w:val="002818B8"/>
    <w:rsid w:val="00291026"/>
    <w:rsid w:val="002A0B7A"/>
    <w:rsid w:val="002A3C88"/>
    <w:rsid w:val="002B6D1E"/>
    <w:rsid w:val="002B6FF4"/>
    <w:rsid w:val="002D2E45"/>
    <w:rsid w:val="002F70A0"/>
    <w:rsid w:val="002F765B"/>
    <w:rsid w:val="00304398"/>
    <w:rsid w:val="00317EDA"/>
    <w:rsid w:val="00321C34"/>
    <w:rsid w:val="00351849"/>
    <w:rsid w:val="0035383C"/>
    <w:rsid w:val="0036164E"/>
    <w:rsid w:val="003627C3"/>
    <w:rsid w:val="00384EF4"/>
    <w:rsid w:val="003E5643"/>
    <w:rsid w:val="003F1C4B"/>
    <w:rsid w:val="00426B68"/>
    <w:rsid w:val="00431328"/>
    <w:rsid w:val="0044206A"/>
    <w:rsid w:val="00492346"/>
    <w:rsid w:val="00493DA7"/>
    <w:rsid w:val="004A3837"/>
    <w:rsid w:val="00522A92"/>
    <w:rsid w:val="005314F7"/>
    <w:rsid w:val="00560877"/>
    <w:rsid w:val="00567D90"/>
    <w:rsid w:val="005870BE"/>
    <w:rsid w:val="005954C6"/>
    <w:rsid w:val="005B0D61"/>
    <w:rsid w:val="005E00A1"/>
    <w:rsid w:val="00614C6E"/>
    <w:rsid w:val="00632EF6"/>
    <w:rsid w:val="00641574"/>
    <w:rsid w:val="006445A6"/>
    <w:rsid w:val="00655DED"/>
    <w:rsid w:val="00685206"/>
    <w:rsid w:val="00713ABA"/>
    <w:rsid w:val="00740A54"/>
    <w:rsid w:val="00747DF6"/>
    <w:rsid w:val="007B469F"/>
    <w:rsid w:val="007D22B2"/>
    <w:rsid w:val="00812264"/>
    <w:rsid w:val="00825227"/>
    <w:rsid w:val="00837B38"/>
    <w:rsid w:val="00847A1F"/>
    <w:rsid w:val="00892DEC"/>
    <w:rsid w:val="0089386E"/>
    <w:rsid w:val="008B7461"/>
    <w:rsid w:val="008C0935"/>
    <w:rsid w:val="008F089E"/>
    <w:rsid w:val="008F5F59"/>
    <w:rsid w:val="009054AA"/>
    <w:rsid w:val="00960590"/>
    <w:rsid w:val="009643C9"/>
    <w:rsid w:val="00985E38"/>
    <w:rsid w:val="00987D90"/>
    <w:rsid w:val="009C7849"/>
    <w:rsid w:val="009D4492"/>
    <w:rsid w:val="009E2B9C"/>
    <w:rsid w:val="00A3409B"/>
    <w:rsid w:val="00A86640"/>
    <w:rsid w:val="00AB6A4D"/>
    <w:rsid w:val="00AC3273"/>
    <w:rsid w:val="00AD0242"/>
    <w:rsid w:val="00AE4CCA"/>
    <w:rsid w:val="00B50502"/>
    <w:rsid w:val="00B5164D"/>
    <w:rsid w:val="00B6290A"/>
    <w:rsid w:val="00B65578"/>
    <w:rsid w:val="00BB761E"/>
    <w:rsid w:val="00BE3135"/>
    <w:rsid w:val="00C055FC"/>
    <w:rsid w:val="00C21288"/>
    <w:rsid w:val="00C236E3"/>
    <w:rsid w:val="00C30A42"/>
    <w:rsid w:val="00CB6ABB"/>
    <w:rsid w:val="00D02FAC"/>
    <w:rsid w:val="00D141A7"/>
    <w:rsid w:val="00D271B5"/>
    <w:rsid w:val="00D7292E"/>
    <w:rsid w:val="00D94E21"/>
    <w:rsid w:val="00DB421F"/>
    <w:rsid w:val="00DC2959"/>
    <w:rsid w:val="00DD00CF"/>
    <w:rsid w:val="00DD57A8"/>
    <w:rsid w:val="00E16D59"/>
    <w:rsid w:val="00E754D1"/>
    <w:rsid w:val="00E9395A"/>
    <w:rsid w:val="00EA6A92"/>
    <w:rsid w:val="00F01783"/>
    <w:rsid w:val="00F070B4"/>
    <w:rsid w:val="00F07F22"/>
    <w:rsid w:val="00F21CB2"/>
    <w:rsid w:val="00F42A9E"/>
    <w:rsid w:val="00F4452C"/>
    <w:rsid w:val="00FA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16396"/>
  <w15:chartTrackingRefBased/>
  <w15:docId w15:val="{A6946774-E0D5-416B-8589-3D5FA5D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F22"/>
    <w:rPr>
      <w:b/>
      <w:bCs/>
    </w:rPr>
  </w:style>
  <w:style w:type="character" w:styleId="Emphasis">
    <w:name w:val="Emphasis"/>
    <w:basedOn w:val="DefaultParagraphFont"/>
    <w:uiPriority w:val="20"/>
    <w:qFormat/>
    <w:rsid w:val="00F07F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0473">
      <w:bodyDiv w:val="1"/>
      <w:marLeft w:val="0"/>
      <w:marRight w:val="0"/>
      <w:marTop w:val="0"/>
      <w:marBottom w:val="0"/>
      <w:divBdr>
        <w:top w:val="none" w:sz="0" w:space="0" w:color="auto"/>
        <w:left w:val="none" w:sz="0" w:space="0" w:color="auto"/>
        <w:bottom w:val="none" w:sz="0" w:space="0" w:color="auto"/>
        <w:right w:val="none" w:sz="0" w:space="0" w:color="auto"/>
      </w:divBdr>
    </w:div>
    <w:div w:id="678116689">
      <w:bodyDiv w:val="1"/>
      <w:marLeft w:val="0"/>
      <w:marRight w:val="0"/>
      <w:marTop w:val="0"/>
      <w:marBottom w:val="0"/>
      <w:divBdr>
        <w:top w:val="none" w:sz="0" w:space="0" w:color="auto"/>
        <w:left w:val="none" w:sz="0" w:space="0" w:color="auto"/>
        <w:bottom w:val="none" w:sz="0" w:space="0" w:color="auto"/>
        <w:right w:val="none" w:sz="0" w:space="0" w:color="auto"/>
      </w:divBdr>
    </w:div>
    <w:div w:id="837036275">
      <w:bodyDiv w:val="1"/>
      <w:marLeft w:val="0"/>
      <w:marRight w:val="0"/>
      <w:marTop w:val="0"/>
      <w:marBottom w:val="0"/>
      <w:divBdr>
        <w:top w:val="none" w:sz="0" w:space="0" w:color="auto"/>
        <w:left w:val="none" w:sz="0" w:space="0" w:color="auto"/>
        <w:bottom w:val="none" w:sz="0" w:space="0" w:color="auto"/>
        <w:right w:val="none" w:sz="0" w:space="0" w:color="auto"/>
      </w:divBdr>
    </w:div>
    <w:div w:id="1233545856">
      <w:bodyDiv w:val="1"/>
      <w:marLeft w:val="0"/>
      <w:marRight w:val="0"/>
      <w:marTop w:val="0"/>
      <w:marBottom w:val="0"/>
      <w:divBdr>
        <w:top w:val="none" w:sz="0" w:space="0" w:color="auto"/>
        <w:left w:val="none" w:sz="0" w:space="0" w:color="auto"/>
        <w:bottom w:val="none" w:sz="0" w:space="0" w:color="auto"/>
        <w:right w:val="none" w:sz="0" w:space="0" w:color="auto"/>
      </w:divBdr>
    </w:div>
    <w:div w:id="1476795800">
      <w:bodyDiv w:val="1"/>
      <w:marLeft w:val="0"/>
      <w:marRight w:val="0"/>
      <w:marTop w:val="0"/>
      <w:marBottom w:val="0"/>
      <w:divBdr>
        <w:top w:val="none" w:sz="0" w:space="0" w:color="auto"/>
        <w:left w:val="none" w:sz="0" w:space="0" w:color="auto"/>
        <w:bottom w:val="none" w:sz="0" w:space="0" w:color="auto"/>
        <w:right w:val="none" w:sz="0" w:space="0" w:color="auto"/>
      </w:divBdr>
    </w:div>
    <w:div w:id="1481656148">
      <w:bodyDiv w:val="1"/>
      <w:marLeft w:val="0"/>
      <w:marRight w:val="0"/>
      <w:marTop w:val="0"/>
      <w:marBottom w:val="0"/>
      <w:divBdr>
        <w:top w:val="none" w:sz="0" w:space="0" w:color="auto"/>
        <w:left w:val="none" w:sz="0" w:space="0" w:color="auto"/>
        <w:bottom w:val="none" w:sz="0" w:space="0" w:color="auto"/>
        <w:right w:val="none" w:sz="0" w:space="0" w:color="auto"/>
      </w:divBdr>
    </w:div>
    <w:div w:id="20735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7</Pages>
  <Words>1187</Words>
  <Characters>6873</Characters>
  <Application>Microsoft Office Word</Application>
  <DocSecurity>0</DocSecurity>
  <Lines>122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119</cp:revision>
  <dcterms:created xsi:type="dcterms:W3CDTF">2025-04-16T08:55:00Z</dcterms:created>
  <dcterms:modified xsi:type="dcterms:W3CDTF">2025-04-17T12:07:00Z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3807a9b2-b4bf-428d-bfcf-8a24e3218927</vt:lpwstr>
  </property>
</Properties>
</file>