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Artigo_Mod1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类型: 报告</w:t>
      </w:r>
    </w:p>
    <w:p>
      <w:pPr>
        <w:spacing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200" w:after="100"/>
      </w:pPr>
      <w:r>
        <w:t xml:space="preserve">Do Técnico ao Arquiteto de Soluções: O Guia Definitivo para sua Metamorfose no Empreendedorismo Digital</w:t>
      </w:r>
    </w:p>
    <w:p>
      <w:pPr>
        <w:pStyle w:val="Heading2"/>
        <w:spacing w:before="200" w:after="100"/>
      </w:pPr>
      <w:r>
        <w:t xml:space="preserve">1. Introdução: O Fim do Mito e o Início da Ciência</w:t>
      </w:r>
    </w:p>
    <w:p>
      <w:pPr>
        <w:spacing w:before="100" w:after="100"/>
      </w:pPr>
      <w:r>
        <w:t xml:space="preserve">No dinâmico cenário da Quarta Revolução Industrial, o sucesso não pertence aos que esperam pela inspiração, mas aos que dominam o método. Precisamos, primeiro, desconstruir o maior entrave ao seu crescimento: a ideia de que o empreendedorismo é um "dom místico" ou uma "vocação inata". Como mentor, afirmo que essa visão é obsoleta e perigosa. O empreendedorismo moderno é uma Disciplina Científica rigorosa, fundamentada em experimentação constante, agilidade orientada a dados e execução contínua sob condições de escassez.</w:t>
      </w:r>
    </w:p>
    <w:p>
      <w:pPr>
        <w:spacing w:before="100" w:after="100"/>
      </w:pPr>
      <w:r>
        <w:t xml:space="preserve">Esta transição exige um alinhamento cirúrgico entre o rigor acadêmico e as demandas pragmáticas de liderança em mercados voláteis.</w:t>
      </w:r>
    </w:p>
    <w:p>
      <w:pPr>
        <w:spacing w:before="100" w:after="100"/>
      </w:pPr>
      <w:r>
        <w:t xml:space="preserve">"Estamos vivendo um alinhamento construtivo entre a academia e as demandas de liderança em ambientes de incerteza radical. A convergência entre IA, IoT e Nuvem [...] não é apenas uma escolha técnica; é a ferramenta para transformar processos obsoletos em soluções de alto valor percebido." — Docente Fabio Fachini</w:t>
      </w:r>
    </w:p>
    <w:p>
      <w:pPr>
        <w:pStyle w:val="Heading2"/>
        <w:spacing w:before="200" w:after="100"/>
      </w:pPr>
      <w:r>
        <w:t xml:space="preserve">2. A Travessia: Da Execução Técnica à Arquitetura de Soluções</w:t>
      </w:r>
    </w:p>
    <w:p>
      <w:pPr>
        <w:spacing w:before="100" w:after="100"/>
      </w:pPr>
      <w:r>
        <w:t xml:space="preserve">A imagem da "porta aberta" para a infraestrutura digital [SOURCE_IMAGE_1] simboliza sua mudança de paradigma. Deixar de ser um técnico executor para se tornar um Arquiteto de Soluções não é um simples upgrade de habilidades; é uma metamorfose organizacional. Para sobreviver à incerteza radical, você deve dominar a Ambidestria Organizacional: a capacidade de manter a eficiência da Gestão (foco operacional no hoje) enquanto orquestra a Inovação (visão estratégica do amanhã).</w:t>
      </w:r>
    </w:p>
    <w:p>
      <w:pPr>
        <w:spacing w:before="100" w:after="100"/>
      </w:pPr>
      <w:r>
        <w:t xml:space="preserve">Abaixo, comparo as posturas que definem o seu sucesso ou sua obsolescência:</w:t>
      </w:r>
    </w:p>
    <w:p>
      <w:pPr>
        <w:spacing w:before="50" w:after="50"/>
        <w:ind w:left="720"/>
      </w:pPr>
      <w:r>
        <w:t xml:space="preserve">• Receptor Passivo / Técnico: Atua com olhar puramente operacional, focado em tarefas isoladas e enxergando a tecnologia como um fim. É um refém do status quo.</w:t>
      </w:r>
    </w:p>
    <w:p>
      <w:pPr>
        <w:spacing w:before="50" w:after="50"/>
        <w:ind w:left="720"/>
      </w:pPr>
      <w:r>
        <w:t xml:space="preserve">• Arquiteto de Soluções: Adota o pensamento exponencial e um viés para a ação. Utiliza a tecnologia como veículo para resolver dores reais, focando em impacto sistêmico e geração de valor real.</w:t>
      </w:r>
    </w:p>
    <w:p>
      <w:pPr>
        <w:pStyle w:val="Heading2"/>
        <w:spacing w:before="200" w:after="100"/>
      </w:pPr>
      <w:r>
        <w:t xml:space="preserve">3. O Mapa da Jornada: Subindo a Montanha do Conhecimento</w:t>
      </w:r>
    </w:p>
    <w:p>
      <w:pPr>
        <w:spacing w:before="100" w:after="100"/>
      </w:pPr>
      <w:r>
        <w:t xml:space="preserve">Sua evolução é estruturada em "acampamentos" estratégicos [SOURCE_IMAGE_4]. Um diferencial crítico para sua produtividade: a Apostila deste curso é o seu "repositório da verdade". Ela foi desenhada para que, durante a construção do seu Projeto Final, você tenha todos os fundamentos à mão, eliminando a necessidade de retransmitir as vídeo-aulas e permitindo uma execução mais ágil.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Objetivo Central</w:t>
            </w:r>
          </w:p>
        </w:tc>
      </w:tr>
      <w:tr>
        <w:tc>
          <w:p>
            <w:r>
              <w:t xml:space="preserve">1. Boas-vindas e Apresentação</w:t>
            </w:r>
          </w:p>
        </w:tc>
        <w:tc>
          <w:p>
            <w:r>
              <w:t xml:space="preserve">Alinhamento de expectativas e visão sistêmica da jornada.</w:t>
            </w:r>
          </w:p>
        </w:tc>
      </w:tr>
      <w:tr>
        <w:tc>
          <w:p>
            <w:r>
              <w:t xml:space="preserve">2. Introdução ao Empreendedorismo</w:t>
            </w:r>
          </w:p>
        </w:tc>
        <w:tc>
          <w:p>
            <w:r>
              <w:t xml:space="preserve">Transição do "Dom" para a "Ciência" e estratégia sob escassez.</w:t>
            </w:r>
          </w:p>
        </w:tc>
      </w:tr>
      <w:tr>
        <w:tc>
          <w:p>
            <w:r>
              <w:t xml:space="preserve">3. Visão Geral de Negócios</w:t>
            </w:r>
          </w:p>
        </w:tc>
        <w:tc>
          <w:p>
            <w:r>
              <w:t xml:space="preserve">Fundamentos de modelagem e diagnóstico analítico de precisão.</w:t>
            </w:r>
          </w:p>
        </w:tc>
      </w:tr>
      <w:tr>
        <w:tc>
          <w:p>
            <w:r>
              <w:t xml:space="preserve">4. Aplicações Tecnológicas</w:t>
            </w:r>
          </w:p>
        </w:tc>
        <w:tc>
          <w:p>
            <w:r>
              <w:t xml:space="preserve">Uso real de tecnologias em Indústria, Agro e Serviços.</w:t>
            </w:r>
          </w:p>
        </w:tc>
      </w:tr>
      <w:tr>
        <w:tc>
          <w:p>
            <w:r>
              <w:t xml:space="preserve">5. Oportunidades e Riscos</w:t>
            </w:r>
          </w:p>
        </w:tc>
        <w:tc>
          <w:p>
            <w:r>
              <w:t xml:space="preserve">Diagnóstico crítico de dores internas e lacunas de mercado.</w:t>
            </w:r>
          </w:p>
        </w:tc>
      </w:tr>
      <w:tr>
        <w:tc>
          <w:p>
            <w:r>
              <w:t xml:space="preserve">6. Modelagem de Negócios</w:t>
            </w:r>
          </w:p>
        </w:tc>
        <w:tc>
          <w:p>
            <w:r>
              <w:t xml:space="preserve">Design estratégico focado em valor e sustentabilidade.</w:t>
            </w:r>
          </w:p>
        </w:tc>
      </w:tr>
      <w:tr>
        <w:tc>
          <w:p>
            <w:r>
              <w:t xml:space="preserve">7. Construindo uma Solução</w:t>
            </w:r>
          </w:p>
        </w:tc>
        <w:tc>
          <w:p>
            <w:r>
              <w:t xml:space="preserve">Integração tecnológica em um projeto de arquitetura de valor.</w:t>
            </w:r>
          </w:p>
        </w:tc>
      </w:tr>
      <w:tr>
        <w:tc>
          <w:p>
            <w:r>
              <w:t xml:space="preserve">8. Formas de Fomento</w:t>
            </w:r>
          </w:p>
        </w:tc>
        <w:tc>
          <w:p>
            <w:r>
              <w:t xml:space="preserve">Estratégias de financiamento e implementação prática.</w:t>
            </w:r>
          </w:p>
        </w:tc>
      </w:tr>
    </w:tbl>
    <w:p/>
    <w:p>
      <w:pPr>
        <w:pStyle w:val="Heading2"/>
        <w:spacing w:before="200" w:after="100"/>
      </w:pPr>
      <w:r>
        <w:t xml:space="preserve">4. O Fator Humano: "Conhece-te a Ti Mesmo" e o Impacto da Personalidade</w:t>
      </w:r>
    </w:p>
    <w:p>
      <w:pPr>
        <w:spacing w:before="100" w:after="100"/>
      </w:pPr>
      <w:r>
        <w:t xml:space="preserve">O mercado contemporâneo não premia mais o "lobo solitário" técnico; ele exige arquitetos que saibam formar parcerias estratégicas. O autoconhecimento é a sua inteligência de mercado interna. Você deve identificar se seu perfil é Analítico, Decisor, Criativo ou Comunicador para mapear suas limitações e buscar competências complementares.</w:t>
      </w:r>
    </w:p>
    <w:p>
      <w:pPr>
        <w:spacing w:before="100" w:after="100"/>
      </w:pPr>
      <w:r>
        <w:t xml:space="preserve">Para isso, utilizamos ferramentas com pedigree acadêmico e de mercado:</w:t>
      </w:r>
    </w:p>
    <w:p>
      <w:pPr>
        <w:spacing w:before="50" w:after="50"/>
        <w:ind w:left="720"/>
      </w:pPr>
      <w:r>
        <w:t xml:space="preserve">• 16Personalities: Ferramenta vinculada à Metodologia StartUB (Universidade de Barcelona) para diagnóstico de comportamento e comunicação.</w:t>
      </w:r>
    </w:p>
    <w:p>
      <w:pPr>
        <w:spacing w:before="50" w:after="50"/>
        <w:ind w:left="720"/>
      </w:pPr>
      <w:r>
        <w:t xml:space="preserve">• GC Index: Abordagem recomendada pelo TMForum para avaliar o impacto individual em processos de inovação digital.</w:t>
      </w:r>
    </w:p>
    <w:p>
      <w:pPr>
        <w:spacing w:before="50" w:after="50"/>
        <w:ind w:left="720"/>
      </w:pPr>
      <w:r>
        <w:t xml:space="preserve">• Descubra seus Pontos Fortes: Metodologia de Buckingham e Clifton para posicionamento profissional estratégico.</w:t>
      </w:r>
    </w:p>
    <w:p>
      <w:pPr>
        <w:pStyle w:val="Heading2"/>
        <w:spacing w:before="200" w:after="100"/>
      </w:pPr>
      <w:r>
        <w:t xml:space="preserve">5. A Tríade de Valor e as Tecnologias Habilitadoras</w:t>
      </w:r>
    </w:p>
    <w:p>
      <w:pPr>
        <w:spacing w:before="100" w:after="100"/>
      </w:pPr>
      <w:r>
        <w:t xml:space="preserve">IA, IoT e Cloud não são troféus tecnológicos; são ferramentas de modificação da realidade. Nossa abordagem funde a agressividade de escala do Modelo Norte-Americano com a sustentabilidade socioeconômica do Modelo Europeu. Esta integração é guiada pelos padrões do TMForum e os princípios da Indústria 4.0, garantindo que a tecnologia sirva à "Tríade de Valor": Serviço, Experiência e Oportunidade.</w:t>
      </w:r>
    </w:p>
    <w:p>
      <w:pPr>
        <w:spacing w:before="100" w:after="100"/>
      </w:pPr>
      <w:r>
        <w:t xml:space="preserve">O Fluxo da Arquitetura de Valor:</w:t>
      </w:r>
    </w:p>
    <w:p>
      <w:pPr>
        <w:spacing w:before="50" w:after="50"/>
        <w:ind w:left="720"/>
      </w:pPr>
      <w:r>
        <w:t xml:space="preserve">1. Tecnologia Habilitadora: Implementação de IA, IoT e Nuvem.</w:t>
      </w:r>
    </w:p>
    <w:p>
      <w:pPr>
        <w:spacing w:before="50" w:after="50"/>
        <w:ind w:left="720"/>
      </w:pPr>
      <w:r>
        <w:t xml:space="preserve">2. Articulação de Dados: Conversão de informação bruta em insights.</w:t>
      </w:r>
    </w:p>
    <w:p>
      <w:pPr>
        <w:spacing w:before="50" w:after="50"/>
        <w:ind w:left="720"/>
      </w:pPr>
      <w:r>
        <w:t xml:space="preserve">3. Modificação de Condição: Alteração drástica do status quo de um processo.</w:t>
      </w:r>
    </w:p>
    <w:p>
      <w:pPr>
        <w:spacing w:before="50" w:after="50"/>
        <w:ind w:left="720"/>
      </w:pPr>
      <w:r>
        <w:t xml:space="preserve">4. Geração de Valor Real: Entrega de resultados financeiros, sociais e ambientais.</w:t>
      </w:r>
    </w:p>
    <w:p>
      <w:pPr>
        <w:pStyle w:val="Heading2"/>
        <w:spacing w:before="200" w:after="100"/>
      </w:pPr>
      <w:r>
        <w:t xml:space="preserve">6. O Contrato Pedagógico: Protagonismo e Rigor na Execução</w:t>
      </w:r>
    </w:p>
    <w:p>
      <w:pPr>
        <w:spacing w:before="100" w:after="100"/>
      </w:pPr>
      <w:r>
        <w:t xml:space="preserve">O mercado não premia a intenção, premia a execução. O rigor deste curso reflete a seriedade do mundo corporativo. Esteja ciente: a reprovação em um quiz de módulo não apenas bloqueia seu progresso, mas diminui sua nota média final, impactando seu coeficiente de excelência.</w:t>
      </w:r>
    </w:p>
    <w:p>
      <w:pPr>
        <w:spacing w:before="100" w:after="100"/>
      </w:pPr>
      <w:r>
        <w:t xml:space="preserve">Os pesos da sua avaliação multidimensional são:</w:t>
      </w:r>
    </w:p>
    <w:p>
      <w:pPr>
        <w:spacing w:before="50" w:after="50"/>
        <w:ind w:left="720"/>
      </w:pPr>
      <w:r>
        <w:t xml:space="preserve">1. Engajamento Digital (10%): Constância e logs de permanência no ambiente virtual.</w:t>
      </w:r>
    </w:p>
    <w:p>
      <w:pPr>
        <w:spacing w:before="50" w:after="50"/>
        <w:ind w:left="720"/>
      </w:pPr>
      <w:r>
        <w:t xml:space="preserve">2. Fixação de Conceitos (30%): Quizzes obrigatórios (exigência mínima de 50% de acertos).</w:t>
      </w:r>
    </w:p>
    <w:p>
      <w:pPr>
        <w:spacing w:before="50" w:after="50"/>
        <w:ind w:left="720"/>
      </w:pPr>
      <w:r>
        <w:t xml:space="preserve">3. Solução Tecnológica (60%): O grande projeto prático de integração de tecnologias emergentes.</w:t>
      </w:r>
    </w:p>
    <w:p>
      <w:pPr>
        <w:pStyle w:val="Heading2"/>
        <w:spacing w:before="200" w:after="100"/>
      </w:pPr>
      <w:r>
        <w:t xml:space="preserve">7. Roteiro para o Sucesso: As 4 Fases do Projeto de Aplicação</w:t>
      </w:r>
    </w:p>
    <w:p>
      <w:pPr>
        <w:spacing w:before="100" w:after="100"/>
      </w:pPr>
      <w:r>
        <w:t xml:space="preserve">O Projeto Final é o marco da sua transição para Arquiteto. Ele pode ser desenvolvido individualmente ou em parceria com outros participantes, unindo perfis comportamentais complementares mapeados no Módulo 1.</w:t>
      </w:r>
    </w:p>
    <w:p>
      <w:pPr>
        <w:pStyle w:val="Heading3"/>
        <w:spacing w:before="200" w:after="100"/>
      </w:pPr>
      <w:r>
        <w:t xml:space="preserve">III. Diagnóstico</w:t>
      </w:r>
    </w:p>
    <w:p>
      <w:pPr>
        <w:spacing w:before="100" w:after="100"/>
      </w:pPr>
      <w:r>
        <w:t xml:space="preserve">Identifique uma dor real no seu ecossistema. O objetivo é elevar o grau de maturidade digital de uma situação específica, substituindo o "achismo" pela precisão analítica.</w:t>
      </w:r>
    </w:p>
    <w:p>
      <w:pPr>
        <w:pStyle w:val="Heading3"/>
        <w:spacing w:before="200" w:after="100"/>
      </w:pPr>
      <w:r>
        <w:t xml:space="preserve">III. Articulação Tecnológica</w:t>
      </w:r>
    </w:p>
    <w:p>
      <w:pPr>
        <w:spacing w:before="100" w:after="100"/>
      </w:pPr>
      <w:r>
        <w:t xml:space="preserve">Desenhe o fluxo técnico: como a IoT coleta, como a Nuvem processa e como a IA gera automação. É permitida e incentivada a integração com sistemas legados existentes.</w:t>
      </w:r>
    </w:p>
    <w:p>
      <w:pPr>
        <w:pStyle w:val="Heading3"/>
        <w:spacing w:before="200" w:after="100"/>
      </w:pPr>
      <w:r>
        <w:t xml:space="preserve">III. Modificação de Condição</w:t>
      </w:r>
    </w:p>
    <w:p>
      <w:pPr>
        <w:spacing w:before="100" w:after="100"/>
      </w:pPr>
      <w:r>
        <w:t xml:space="preserve">Sua solução deve modificar o status quo. Não se trata de uma melhoria marginal, mas de uma transformação na forma como o serviço é entregue ou o produto é criado.</w:t>
      </w:r>
    </w:p>
    <w:p>
      <w:pPr>
        <w:pStyle w:val="Heading3"/>
        <w:spacing w:before="200" w:after="100"/>
      </w:pPr>
      <w:r>
        <w:t xml:space="preserve">III. Validação de Valor</w:t>
      </w:r>
    </w:p>
    <w:p>
      <w:pPr>
        <w:spacing w:before="100" w:after="100"/>
      </w:pPr>
      <w:r>
        <w:t xml:space="preserve">Demonstre a viabilidade técnica e o impacto nos pilares Social, Ambiental ou Econômico. Atenção: Nesta etapa, a viabilidade econômico-financeira detalhada não será avaliada; o foco total é na viabilidade tecnológica e na percepção de valor pelo cliente final.</w:t>
      </w:r>
    </w:p>
    <w:p>
      <w:pPr>
        <w:spacing w:before="100" w:after="100"/>
      </w:pPr>
      <w:r>
        <w:t xml:space="preserve">Checklist de Protagonismo</w:t>
      </w:r>
    </w:p>
    <w:p>
      <w:pPr>
        <w:spacing w:before="50" w:after="50"/>
        <w:ind w:left="720"/>
      </w:pPr>
      <w:r>
        <w:t xml:space="preserve">• [ ] 40 horas de conteúdo e materiais estudados.</w:t>
      </w:r>
    </w:p>
    <w:p>
      <w:pPr>
        <w:spacing w:before="50" w:after="50"/>
        <w:ind w:left="720"/>
      </w:pPr>
      <w:r>
        <w:t xml:space="preserve">• [ ] Logs de engajamento regular validados.</w:t>
      </w:r>
    </w:p>
    <w:p>
      <w:pPr>
        <w:spacing w:before="50" w:after="50"/>
        <w:ind w:left="720"/>
      </w:pPr>
      <w:r>
        <w:t xml:space="preserve">• [ ] Quizzes de fixação concluídos com nota mínima.</w:t>
      </w:r>
    </w:p>
    <w:p>
      <w:pPr>
        <w:spacing w:before="50" w:after="50"/>
        <w:ind w:left="720"/>
      </w:pPr>
      <w:r>
        <w:t xml:space="preserve">• [ ] Projeto Final submetido conforme o modelo oficial.</w:t>
      </w:r>
    </w:p>
    <w:p>
      <w:pPr>
        <w:spacing w:before="50" w:after="50"/>
        <w:ind w:left="720"/>
      </w:pPr>
      <w:r>
        <w:t xml:space="preserve">• [ ] Prazos cumpridos com rigor executivo.</w:t>
      </w:r>
    </w:p>
    <w:p>
      <w:pPr>
        <w:pStyle w:val="Heading2"/>
        <w:spacing w:before="200" w:after="100"/>
      </w:pPr>
      <w:r>
        <w:t xml:space="preserve">8. Conclusão: O Convite à Transformação</w:t>
      </w:r>
    </w:p>
    <w:p>
      <w:pPr>
        <w:spacing w:before="100" w:after="100"/>
      </w:pPr>
      <w:r>
        <w:t xml:space="preserve">O objetivo final desta jornada é formar líderes capazes de arquitetar soluções que gerem resultados mensuráveis em cenários de incerteza radical. Você é o único protagonista da sua carreira. A tecnologia é apenas o motor; sua capacidade estratégica de articulação é o que definirá sua relevância no ecossistema de inovação global.</w:t>
      </w:r>
    </w:p>
    <w:p>
      <w:pPr>
        <w:spacing w:before="100" w:after="100"/>
      </w:pPr>
      <w:r>
        <w:t xml:space="preserve">A excelência na execução é o único diferencial que o mercado não consegue ignorar.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41588F6B443A468495C37AE947C4A4" ma:contentTypeVersion="20" ma:contentTypeDescription="Crie um novo documento." ma:contentTypeScope="" ma:versionID="fd28608b7a944f99ac0b8fdef2ec06ef">
  <xsd:schema xmlns:xsd="http://www.w3.org/2001/XMLSchema" xmlns:xs="http://www.w3.org/2001/XMLSchema" xmlns:p="http://schemas.microsoft.com/office/2006/metadata/properties" xmlns:ns2="1f860161-4ed4-45f6-8ee9-ca4280842a24" xmlns:ns3="423ea6b1-3db4-4988-bfd6-f11b79fd543f" targetNamespace="http://schemas.microsoft.com/office/2006/metadata/properties" ma:root="true" ma:fieldsID="9c38333bb2b7ddd8c4dbba483f72dad3" ns2:_="" ns3:_="">
    <xsd:import namespace="1f860161-4ed4-45f6-8ee9-ca4280842a24"/>
    <xsd:import namespace="423ea6b1-3db4-4988-bfd6-f11b79fd5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TaxCatchAll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60161-4ed4-45f6-8ee9-ca4280842a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ff225fcb-b25d-4439-91a2-c2b0294f7a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ea6b1-3db4-4988-bfd6-f11b79fd543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73d903d-3290-448f-9ded-41ac59609960}" ma:internalName="TaxCatchAll" ma:showField="CatchAllData" ma:web="423ea6b1-3db4-4988-bfd6-f11b79fd5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3ea6b1-3db4-4988-bfd6-f11b79fd543f" xsi:nil="true"/>
    <lcf76f155ced4ddcb4097134ff3c332f xmlns="1f860161-4ed4-45f6-8ee9-ca4280842a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58214B-DED5-454D-A1D6-96A1358A79B4}"/>
</file>

<file path=customXml/itemProps2.xml><?xml version="1.0" encoding="utf-8"?>
<ds:datastoreItem xmlns:ds="http://schemas.openxmlformats.org/officeDocument/2006/customXml" ds:itemID="{A5818BA3-3922-4993-B2C0-CE573BA6ED82}"/>
</file>

<file path=customXml/itemProps3.xml><?xml version="1.0" encoding="utf-8"?>
<ds:datastoreItem xmlns:ds="http://schemas.openxmlformats.org/officeDocument/2006/customXml" ds:itemID="{1985281C-9755-453B-A098-B421716ACDE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2026-08-12T19:54:32Z</dcterms:created>
  <dcterms:modified xsi:type="dcterms:W3CDTF">2026-08-12T19:54:32Z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0x010100AE41588F6B443A468495C37AE947C4A4</vt:lpwstr>
  </property>
</Properties>
</file>