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The Atlantic Multidecadal Oscillation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mettez y tout ce que vous voulez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color w:val="0b5394"/>
          <w:rtl w:val="0"/>
        </w:rPr>
        <w:t xml:space="preserve">Pourquoi c’est important 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Associated with important climate impacts, such as the multidecadal variability of Atlantic Hurricane activity, North American and European summer climate, northern hemispheric mean surface temperature, and Arctic sea ice anomalies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color w:val="0b5394"/>
        </w:rPr>
      </w:pPr>
      <w:r w:rsidDel="00000000" w:rsidR="00000000" w:rsidRPr="00000000">
        <w:rPr>
          <w:b w:val="1"/>
          <w:color w:val="0b5394"/>
          <w:rtl w:val="0"/>
        </w:rPr>
        <w:t xml:space="preserve">Problématiques possibles  :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prévision de l’AMO à partir des données historiques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comparaison des projections d’ensembles d’un model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comparaison des modèles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color w:val="0b5394"/>
        </w:rPr>
      </w:pPr>
      <w:r w:rsidDel="00000000" w:rsidR="00000000" w:rsidRPr="00000000">
        <w:rPr>
          <w:b w:val="1"/>
          <w:color w:val="0b5394"/>
          <w:rtl w:val="0"/>
        </w:rPr>
        <w:t xml:space="preserve">Les données :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Model :</w:t>
      </w:r>
      <w:r w:rsidDel="00000000" w:rsidR="00000000" w:rsidRPr="00000000">
        <w:rPr>
          <w:rtl w:val="0"/>
        </w:rPr>
        <w:t xml:space="preserve"> CMIP6 -&gt; Lesquels 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Période 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Projection</w:t>
      </w:r>
      <w:r w:rsidDel="00000000" w:rsidR="00000000" w:rsidRPr="00000000">
        <w:rPr>
          <w:rtl w:val="0"/>
        </w:rPr>
        <w:t xml:space="preserve"> environ 2000-&gt;2150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Variable :</w:t>
      </w:r>
      <w:r w:rsidDel="00000000" w:rsidR="00000000" w:rsidRPr="00000000">
        <w:rPr>
          <w:rtl w:val="0"/>
        </w:rPr>
        <w:t xml:space="preserve"> moyenne mensuelle de sea surface temperature (</w:t>
      </w:r>
      <w:r w:rsidDel="00000000" w:rsidR="00000000" w:rsidRPr="00000000">
        <w:rPr>
          <w:i w:val="1"/>
          <w:rtl w:val="0"/>
        </w:rPr>
        <w:t xml:space="preserve">TOS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Zone : </w:t>
      </w:r>
      <w:r w:rsidDel="00000000" w:rsidR="00000000" w:rsidRPr="00000000">
        <w:rPr>
          <w:rtl w:val="0"/>
        </w:rPr>
        <w:t xml:space="preserve">80w-&gt; 0E / 65N-&gt; 0N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faut des données de sst moyennées sur 10 années roulantes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Trenberth and Shea (2006) (2)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recommend that the detrending be done by subtracting the global-mean SST anomaly timeseries from the spatially averaged timeseries. </w:t>
      </w:r>
      <w:r w:rsidDel="00000000" w:rsidR="00000000" w:rsidRPr="00000000">
        <w:rPr>
          <w:b w:val="1"/>
          <w:rtl w:val="0"/>
        </w:rPr>
        <w:t xml:space="preserve">(1)</w:t>
      </w:r>
    </w:p>
    <w:p w:rsidR="00000000" w:rsidDel="00000000" w:rsidP="00000000" w:rsidRDefault="00000000" w:rsidRPr="00000000" w14:paraId="00000017">
      <w:pPr>
        <w:ind w:left="720" w:firstLine="0"/>
        <w:rPr>
          <w:b w:val="1"/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(The AMO is given by smoothing from a 10‐year running mean [</w:t>
      </w:r>
      <w:hyperlink r:id="rId6">
        <w:r w:rsidDel="00000000" w:rsidR="00000000" w:rsidRPr="00000000">
          <w:rPr>
            <w:i w:val="1"/>
            <w:color w:val="1155cc"/>
            <w:sz w:val="16"/>
            <w:szCs w:val="16"/>
            <w:u w:val="single"/>
            <w:rtl w:val="0"/>
          </w:rPr>
          <w:t xml:space="preserve">Goldenberg et al.</w:t>
        </w:r>
      </w:hyperlink>
      <w:hyperlink r:id="rId7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, 2001</w:t>
        </w:r>
      </w:hyperlink>
      <w:r w:rsidDel="00000000" w:rsidR="00000000" w:rsidRPr="00000000">
        <w:rPr>
          <w:sz w:val="16"/>
          <w:szCs w:val="16"/>
          <w:rtl w:val="0"/>
        </w:rPr>
        <w:t xml:space="preserve">;</w:t>
      </w:r>
      <w:hyperlink r:id="rId8">
        <w:r w:rsidDel="00000000" w:rsidR="00000000" w:rsidRPr="00000000">
          <w:rPr>
            <w:sz w:val="16"/>
            <w:szCs w:val="16"/>
            <w:rtl w:val="0"/>
          </w:rPr>
          <w:t xml:space="preserve"> </w:t>
        </w:r>
      </w:hyperlink>
      <w:hyperlink r:id="rId9">
        <w:r w:rsidDel="00000000" w:rsidR="00000000" w:rsidRPr="00000000">
          <w:rPr>
            <w:i w:val="1"/>
            <w:color w:val="1155cc"/>
            <w:sz w:val="16"/>
            <w:szCs w:val="16"/>
            <w:u w:val="single"/>
            <w:rtl w:val="0"/>
          </w:rPr>
          <w:t xml:space="preserve">Enfield et al.</w:t>
        </w:r>
      </w:hyperlink>
      <w:hyperlink r:id="rId10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, 2001</w:t>
        </w:r>
      </w:hyperlink>
      <w:r w:rsidDel="00000000" w:rsidR="00000000" w:rsidRPr="00000000">
        <w:rPr>
          <w:sz w:val="16"/>
          <w:szCs w:val="16"/>
          <w:rtl w:val="0"/>
        </w:rPr>
        <w:t xml:space="preserve">] or similar low‐pass filter (</w:t>
      </w:r>
      <w:hyperlink r:id="rId11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Figure 1</w:t>
        </w:r>
      </w:hyperlink>
      <w:r w:rsidDel="00000000" w:rsidR="00000000" w:rsidRPr="00000000">
        <w:rPr>
          <w:sz w:val="16"/>
          <w:szCs w:val="16"/>
          <w:rtl w:val="0"/>
        </w:rPr>
        <w:t xml:space="preserve">). In most cases the variability has been highlighted by detrending the data [</w:t>
      </w:r>
      <w:hyperlink r:id="rId12">
        <w:r w:rsidDel="00000000" w:rsidR="00000000" w:rsidRPr="00000000">
          <w:rPr>
            <w:i w:val="1"/>
            <w:color w:val="1155cc"/>
            <w:sz w:val="16"/>
            <w:szCs w:val="16"/>
            <w:u w:val="single"/>
            <w:rtl w:val="0"/>
          </w:rPr>
          <w:t xml:space="preserve">Enfield et al.</w:t>
        </w:r>
      </w:hyperlink>
      <w:hyperlink r:id="rId13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, 2001</w:t>
        </w:r>
      </w:hyperlink>
      <w:r w:rsidDel="00000000" w:rsidR="00000000" w:rsidRPr="00000000">
        <w:rPr>
          <w:sz w:val="16"/>
          <w:szCs w:val="16"/>
          <w:rtl w:val="0"/>
        </w:rPr>
        <w:t xml:space="preserve">;</w:t>
      </w:r>
      <w:hyperlink r:id="rId14">
        <w:r w:rsidDel="00000000" w:rsidR="00000000" w:rsidRPr="00000000">
          <w:rPr>
            <w:sz w:val="16"/>
            <w:szCs w:val="16"/>
            <w:rtl w:val="0"/>
          </w:rPr>
          <w:t xml:space="preserve"> </w:t>
        </w:r>
      </w:hyperlink>
      <w:hyperlink r:id="rId15">
        <w:r w:rsidDel="00000000" w:rsidR="00000000" w:rsidRPr="00000000">
          <w:rPr>
            <w:i w:val="1"/>
            <w:color w:val="1155cc"/>
            <w:sz w:val="16"/>
            <w:szCs w:val="16"/>
            <w:u w:val="single"/>
            <w:rtl w:val="0"/>
          </w:rPr>
          <w:t xml:space="preserve">McCabe et al.</w:t>
        </w:r>
      </w:hyperlink>
      <w:hyperlink r:id="rId16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, 2004</w:t>
        </w:r>
      </w:hyperlink>
      <w:r w:rsidDel="00000000" w:rsidR="00000000" w:rsidRPr="00000000">
        <w:rPr>
          <w:sz w:val="16"/>
          <w:szCs w:val="16"/>
          <w:rtl w:val="0"/>
        </w:rPr>
        <w:t xml:space="preserve">;</w:t>
      </w:r>
      <w:hyperlink r:id="rId17">
        <w:r w:rsidDel="00000000" w:rsidR="00000000" w:rsidRPr="00000000">
          <w:rPr>
            <w:sz w:val="16"/>
            <w:szCs w:val="16"/>
            <w:rtl w:val="0"/>
          </w:rPr>
          <w:t xml:space="preserve"> </w:t>
        </w:r>
      </w:hyperlink>
      <w:hyperlink r:id="rId18">
        <w:r w:rsidDel="00000000" w:rsidR="00000000" w:rsidRPr="00000000">
          <w:rPr>
            <w:i w:val="1"/>
            <w:color w:val="1155cc"/>
            <w:sz w:val="16"/>
            <w:szCs w:val="16"/>
            <w:u w:val="single"/>
            <w:rtl w:val="0"/>
          </w:rPr>
          <w:t xml:space="preserve">Sutton and Hodson</w:t>
        </w:r>
      </w:hyperlink>
      <w:hyperlink r:id="rId19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, 2005</w:t>
        </w:r>
      </w:hyperlink>
      <w:r w:rsidDel="00000000" w:rsidR="00000000" w:rsidRPr="00000000">
        <w:rPr>
          <w:sz w:val="16"/>
          <w:szCs w:val="16"/>
          <w:rtl w:val="0"/>
        </w:rPr>
        <w:t xml:space="preserve">;</w:t>
      </w:r>
      <w:hyperlink r:id="rId20">
        <w:r w:rsidDel="00000000" w:rsidR="00000000" w:rsidRPr="00000000">
          <w:rPr>
            <w:sz w:val="16"/>
            <w:szCs w:val="16"/>
            <w:rtl w:val="0"/>
          </w:rPr>
          <w:t xml:space="preserve"> </w:t>
        </w:r>
      </w:hyperlink>
      <w:hyperlink r:id="rId21">
        <w:r w:rsidDel="00000000" w:rsidR="00000000" w:rsidRPr="00000000">
          <w:rPr>
            <w:i w:val="1"/>
            <w:color w:val="1155cc"/>
            <w:sz w:val="16"/>
            <w:szCs w:val="16"/>
            <w:u w:val="single"/>
            <w:rtl w:val="0"/>
          </w:rPr>
          <w:t xml:space="preserve">Knight et al.</w:t>
        </w:r>
      </w:hyperlink>
      <w:hyperlink r:id="rId22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, 2005</w:t>
        </w:r>
      </w:hyperlink>
      <w:r w:rsidDel="00000000" w:rsidR="00000000" w:rsidRPr="00000000">
        <w:rPr>
          <w:sz w:val="16"/>
          <w:szCs w:val="16"/>
          <w:rtl w:val="0"/>
        </w:rPr>
        <w:t xml:space="preserve">], and a linear trend is provided in</w:t>
      </w:r>
      <w:hyperlink r:id="rId23">
        <w:r w:rsidDel="00000000" w:rsidR="00000000" w:rsidRPr="00000000">
          <w:rPr>
            <w:sz w:val="16"/>
            <w:szCs w:val="16"/>
            <w:rtl w:val="0"/>
          </w:rPr>
          <w:t xml:space="preserve"> </w:t>
        </w:r>
      </w:hyperlink>
      <w:hyperlink r:id="rId24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Figure 1</w:t>
        </w:r>
      </w:hyperlink>
      <w:r w:rsidDel="00000000" w:rsidR="00000000" w:rsidRPr="00000000">
        <w:rPr>
          <w:sz w:val="16"/>
          <w:szCs w:val="16"/>
          <w:rtl w:val="0"/>
        </w:rPr>
        <w:t xml:space="preserve"> for reference. </w:t>
      </w:r>
      <w:r w:rsidDel="00000000" w:rsidR="00000000" w:rsidRPr="00000000">
        <w:rPr>
          <w:b w:val="1"/>
          <w:color w:val="0b5394"/>
          <w:sz w:val="16"/>
          <w:szCs w:val="16"/>
          <w:rtl w:val="0"/>
        </w:rPr>
        <w:t xml:space="preserve"> (2))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color w:val="1c1d1e"/>
          <w:highlight w:val="white"/>
          <w:u w:val="none"/>
        </w:rPr>
      </w:pPr>
      <w:r w:rsidDel="00000000" w:rsidR="00000000" w:rsidRPr="00000000">
        <w:rPr>
          <w:color w:val="1c1d1e"/>
          <w:highlight w:val="white"/>
          <w:rtl w:val="0"/>
        </w:rPr>
        <w:t xml:space="preserve"> northern limit was kept at 60°N to avoid problems with sea ice changes (2)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color w:val="0b5394"/>
        </w:rPr>
      </w:pPr>
      <w:r w:rsidDel="00000000" w:rsidR="00000000" w:rsidRPr="00000000">
        <w:rPr>
          <w:b w:val="1"/>
          <w:color w:val="0b5394"/>
          <w:rtl w:val="0"/>
        </w:rPr>
        <w:t xml:space="preserve">Les étapes du projet :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calculer l’AMO historique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On doit travailler sur des projection mais on pourra vérifier que notre index est bon en travaillant sur les données historiques.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https://climatedataguide.ucar.edu/climate-data/atlantic-multi-decadal-oscillation-amo</w:t>
        </w:r>
      </w:hyperlink>
      <w:r w:rsidDel="00000000" w:rsidR="00000000" w:rsidRPr="00000000">
        <w:rPr>
          <w:rtl w:val="0"/>
        </w:rPr>
        <w:t xml:space="preserve"> (1)</w:t>
      </w:r>
    </w:p>
    <w:p w:rsidR="00000000" w:rsidDel="00000000" w:rsidP="00000000" w:rsidRDefault="00000000" w:rsidRPr="00000000" w14:paraId="00000021">
      <w:pPr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https://agupubs.onlinelibrary.wiley.com/doi/10.1029/2006GL026894</w:t>
        </w:r>
      </w:hyperlink>
      <w:r w:rsidDel="00000000" w:rsidR="00000000" w:rsidRPr="00000000">
        <w:rPr>
          <w:rtl w:val="0"/>
        </w:rPr>
        <w:t xml:space="preserve"> (2)</w:t>
      </w:r>
    </w:p>
    <w:p w:rsidR="00000000" w:rsidDel="00000000" w:rsidP="00000000" w:rsidRDefault="00000000" w:rsidRPr="00000000" w14:paraId="00000022">
      <w:pPr>
        <w:rPr>
          <w:b w:val="1"/>
        </w:rPr>
      </w:pPr>
      <w:hyperlink r:id="rId2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https://www.aoml.noaa.gov/phod/d2m_shift/amo_faq.php</w:t>
        </w:r>
      </w:hyperlink>
      <w:r w:rsidDel="00000000" w:rsidR="00000000" w:rsidRPr="00000000">
        <w:rPr>
          <w:b w:val="1"/>
          <w:rtl w:val="0"/>
        </w:rPr>
        <w:t xml:space="preserve"> -&gt; site de la NOOA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3810000" cy="46672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66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210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26797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2921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agupubs.onlinelibrary.wiley.com/doi/10.1029/2006GL026894#grl21860-bib-0013" TargetMode="External"/><Relationship Id="rId22" Type="http://schemas.openxmlformats.org/officeDocument/2006/relationships/hyperlink" Target="https://agupubs.onlinelibrary.wiley.com/doi/10.1029/2006GL026894#grl21860-bib-0013" TargetMode="External"/><Relationship Id="rId21" Type="http://schemas.openxmlformats.org/officeDocument/2006/relationships/hyperlink" Target="https://agupubs.onlinelibrary.wiley.com/doi/10.1029/2006GL026894#grl21860-bib-0013" TargetMode="External"/><Relationship Id="rId24" Type="http://schemas.openxmlformats.org/officeDocument/2006/relationships/hyperlink" Target="https://agupubs.onlinelibrary.wiley.com/doi/10.1029/2006GL026894#grl21860-fig-0001" TargetMode="External"/><Relationship Id="rId23" Type="http://schemas.openxmlformats.org/officeDocument/2006/relationships/hyperlink" Target="https://agupubs.onlinelibrary.wiley.com/doi/10.1029/2006GL026894#grl21860-fig-000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gupubs.onlinelibrary.wiley.com/doi/10.1029/2006GL026894#grl21860-bib-0008" TargetMode="External"/><Relationship Id="rId26" Type="http://schemas.openxmlformats.org/officeDocument/2006/relationships/hyperlink" Target="https://agupubs.onlinelibrary.wiley.com/doi/10.1029/2006GL026894" TargetMode="External"/><Relationship Id="rId25" Type="http://schemas.openxmlformats.org/officeDocument/2006/relationships/hyperlink" Target="https://climatedataguide.ucar.edu/climate-data/atlantic-multi-decadal-oscillation-amo" TargetMode="External"/><Relationship Id="rId28" Type="http://schemas.openxmlformats.org/officeDocument/2006/relationships/image" Target="media/image3.png"/><Relationship Id="rId27" Type="http://schemas.openxmlformats.org/officeDocument/2006/relationships/hyperlink" Target="https://www.aoml.noaa.gov/phod/d2m_shift/amo_faq.php" TargetMode="External"/><Relationship Id="rId5" Type="http://schemas.openxmlformats.org/officeDocument/2006/relationships/styles" Target="styles.xml"/><Relationship Id="rId6" Type="http://schemas.openxmlformats.org/officeDocument/2006/relationships/hyperlink" Target="https://agupubs.onlinelibrary.wiley.com/doi/10.1029/2006GL026894#grl21860-bib-0009" TargetMode="External"/><Relationship Id="rId29" Type="http://schemas.openxmlformats.org/officeDocument/2006/relationships/image" Target="media/image4.png"/><Relationship Id="rId7" Type="http://schemas.openxmlformats.org/officeDocument/2006/relationships/hyperlink" Target="https://agupubs.onlinelibrary.wiley.com/doi/10.1029/2006GL026894#grl21860-bib-0009" TargetMode="External"/><Relationship Id="rId8" Type="http://schemas.openxmlformats.org/officeDocument/2006/relationships/hyperlink" Target="https://agupubs.onlinelibrary.wiley.com/doi/10.1029/2006GL026894#grl21860-bib-0008" TargetMode="External"/><Relationship Id="rId31" Type="http://schemas.openxmlformats.org/officeDocument/2006/relationships/image" Target="media/image1.png"/><Relationship Id="rId30" Type="http://schemas.openxmlformats.org/officeDocument/2006/relationships/image" Target="media/image2.png"/><Relationship Id="rId11" Type="http://schemas.openxmlformats.org/officeDocument/2006/relationships/hyperlink" Target="https://agupubs.onlinelibrary.wiley.com/doi/10.1029/2006GL026894#grl21860-fig-0001" TargetMode="External"/><Relationship Id="rId10" Type="http://schemas.openxmlformats.org/officeDocument/2006/relationships/hyperlink" Target="https://agupubs.onlinelibrary.wiley.com/doi/10.1029/2006GL026894#grl21860-bib-0008" TargetMode="External"/><Relationship Id="rId13" Type="http://schemas.openxmlformats.org/officeDocument/2006/relationships/hyperlink" Target="https://agupubs.onlinelibrary.wiley.com/doi/10.1029/2006GL026894#grl21860-bib-0008" TargetMode="External"/><Relationship Id="rId12" Type="http://schemas.openxmlformats.org/officeDocument/2006/relationships/hyperlink" Target="https://agupubs.onlinelibrary.wiley.com/doi/10.1029/2006GL026894#grl21860-bib-0008" TargetMode="External"/><Relationship Id="rId15" Type="http://schemas.openxmlformats.org/officeDocument/2006/relationships/hyperlink" Target="https://agupubs.onlinelibrary.wiley.com/doi/10.1029/2006GL026894#grl21860-bib-0018" TargetMode="External"/><Relationship Id="rId14" Type="http://schemas.openxmlformats.org/officeDocument/2006/relationships/hyperlink" Target="https://agupubs.onlinelibrary.wiley.com/doi/10.1029/2006GL026894#grl21860-bib-0018" TargetMode="External"/><Relationship Id="rId17" Type="http://schemas.openxmlformats.org/officeDocument/2006/relationships/hyperlink" Target="https://agupubs.onlinelibrary.wiley.com/doi/10.1029/2006GL026894#grl21860-bib-0026" TargetMode="External"/><Relationship Id="rId16" Type="http://schemas.openxmlformats.org/officeDocument/2006/relationships/hyperlink" Target="https://agupubs.onlinelibrary.wiley.com/doi/10.1029/2006GL026894#grl21860-bib-0018" TargetMode="External"/><Relationship Id="rId19" Type="http://schemas.openxmlformats.org/officeDocument/2006/relationships/hyperlink" Target="https://agupubs.onlinelibrary.wiley.com/doi/10.1029/2006GL026894#grl21860-bib-0026" TargetMode="External"/><Relationship Id="rId18" Type="http://schemas.openxmlformats.org/officeDocument/2006/relationships/hyperlink" Target="https://agupubs.onlinelibrary.wiley.com/doi/10.1029/2006GL026894#grl21860-bib-002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