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78C888" w14:textId="0E844FE2" w:rsidR="00CE3826" w:rsidRDefault="00CE3826"/>
    <w:p w14:paraId="04F94E79" w14:textId="284FAC50" w:rsidR="00CE3826" w:rsidRDefault="00CE3826">
      <w:pPr>
        <w:rPr>
          <w:b/>
          <w:bCs/>
          <w:u w:val="single"/>
        </w:rPr>
      </w:pPr>
      <w:proofErr w:type="gramStart"/>
      <w:r w:rsidRPr="00CE3826">
        <w:rPr>
          <w:b/>
          <w:bCs/>
          <w:u w:val="single"/>
        </w:rPr>
        <w:t>MODELO  DE</w:t>
      </w:r>
      <w:proofErr w:type="gramEnd"/>
      <w:r w:rsidRPr="00CE3826">
        <w:rPr>
          <w:b/>
          <w:bCs/>
          <w:u w:val="single"/>
        </w:rPr>
        <w:t xml:space="preserve"> REGRESION LINEAL </w:t>
      </w:r>
    </w:p>
    <w:p w14:paraId="139251EE" w14:textId="6F5DDB45" w:rsidR="00BB7DF2" w:rsidRDefault="00BB7DF2">
      <w:pPr>
        <w:rPr>
          <w:b/>
          <w:bCs/>
          <w:u w:val="single"/>
        </w:rPr>
      </w:pPr>
    </w:p>
    <w:p w14:paraId="7EB1CEAA" w14:textId="77777777" w:rsidR="00BB7DF2" w:rsidRDefault="00BB7DF2">
      <w:pPr>
        <w:rPr>
          <w:b/>
          <w:bCs/>
          <w:u w:val="single"/>
        </w:rPr>
      </w:pPr>
    </w:p>
    <w:p w14:paraId="4DB5550C" w14:textId="3FDE1482" w:rsidR="00BB7DF2" w:rsidRDefault="00BB7DF2">
      <w:pPr>
        <w:rPr>
          <w:b/>
          <w:bCs/>
          <w:u w:val="single"/>
        </w:rPr>
      </w:pPr>
      <w:r>
        <w:rPr>
          <w:noProof/>
          <w:lang w:val="es-CR" w:eastAsia="es-CR"/>
        </w:rPr>
        <w:drawing>
          <wp:inline distT="0" distB="0" distL="0" distR="0" wp14:anchorId="45C59385" wp14:editId="47B93C6B">
            <wp:extent cx="3467100" cy="1437939"/>
            <wp:effectExtent l="1905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cstate="print"/>
                    <a:srcRect/>
                    <a:stretch>
                      <a:fillRect/>
                    </a:stretch>
                  </pic:blipFill>
                  <pic:spPr bwMode="auto">
                    <a:xfrm>
                      <a:off x="0" y="0"/>
                      <a:ext cx="3473038" cy="1440402"/>
                    </a:xfrm>
                    <a:prstGeom prst="rect">
                      <a:avLst/>
                    </a:prstGeom>
                    <a:noFill/>
                    <a:ln w="9525">
                      <a:noFill/>
                      <a:miter lim="800000"/>
                      <a:headEnd/>
                      <a:tailEnd/>
                    </a:ln>
                  </pic:spPr>
                </pic:pic>
              </a:graphicData>
            </a:graphic>
          </wp:inline>
        </w:drawing>
      </w:r>
    </w:p>
    <w:p w14:paraId="1C59FE91" w14:textId="77777777" w:rsidR="00BB7DF2" w:rsidRDefault="00BB7DF2" w:rsidP="00BB7DF2">
      <w:pPr>
        <w:tabs>
          <w:tab w:val="left" w:pos="142"/>
        </w:tabs>
      </w:pPr>
      <w:r>
        <w:tab/>
      </w:r>
    </w:p>
    <w:p w14:paraId="4CB478B0" w14:textId="77777777" w:rsidR="00BB7DF2" w:rsidRDefault="00BB7DF2" w:rsidP="00BB7DF2">
      <w:pPr>
        <w:tabs>
          <w:tab w:val="left" w:pos="142"/>
        </w:tabs>
      </w:pPr>
    </w:p>
    <w:p w14:paraId="517C8A67" w14:textId="4387D2F2" w:rsidR="00BB7DF2" w:rsidRDefault="00BB7DF2" w:rsidP="00BB7DF2">
      <w:pPr>
        <w:tabs>
          <w:tab w:val="left" w:pos="142"/>
        </w:tabs>
      </w:pPr>
      <w:r>
        <w:t>En todos los casos el investigador(a) debe seleccionar la o las variables predictoras que formarán parte del modelo de regresión. En esta fase un aspecto de suma importancia es el conocimiento que el investigador(a) posea tanto de la población como del tema en estudio.  Los conocimientos teóricos nos guían en la selección, evaluación y validación del modelo de regresión que mejor se ajusta a nuestros datos.</w:t>
      </w:r>
    </w:p>
    <w:p w14:paraId="6B2E358F" w14:textId="66C99513" w:rsidR="00BB7DF2" w:rsidRDefault="00BB7DF2">
      <w:pPr>
        <w:rPr>
          <w:b/>
          <w:bCs/>
          <w:u w:val="single"/>
        </w:rPr>
      </w:pPr>
    </w:p>
    <w:p w14:paraId="5E68E9EB" w14:textId="77777777" w:rsidR="00BB7DF2" w:rsidRPr="00CE3826" w:rsidRDefault="00BB7DF2">
      <w:pPr>
        <w:rPr>
          <w:b/>
          <w:bCs/>
          <w:u w:val="single"/>
        </w:rPr>
      </w:pPr>
    </w:p>
    <w:p w14:paraId="089D6D3F" w14:textId="77777777" w:rsidR="00CE3826" w:rsidRDefault="00CE3826" w:rsidP="00CE3826">
      <w:pPr>
        <w:spacing w:line="240" w:lineRule="auto"/>
      </w:pPr>
      <w:r>
        <w:t>El análisis de regresión involucra los siguientes pasos:</w:t>
      </w:r>
    </w:p>
    <w:p w14:paraId="1A74B1FA" w14:textId="77777777" w:rsidR="00CE3826" w:rsidRDefault="00CE3826" w:rsidP="00CE3826">
      <w:pPr>
        <w:widowControl w:val="0"/>
        <w:numPr>
          <w:ilvl w:val="0"/>
          <w:numId w:val="1"/>
        </w:numPr>
        <w:autoSpaceDE w:val="0"/>
        <w:autoSpaceDN w:val="0"/>
        <w:adjustRightInd w:val="0"/>
        <w:spacing w:after="0" w:line="240" w:lineRule="auto"/>
        <w:ind w:left="284" w:hanging="284"/>
        <w:jc w:val="both"/>
      </w:pPr>
      <w:r>
        <w:t>Definir: variable predictora y variable dependiente</w:t>
      </w:r>
    </w:p>
    <w:p w14:paraId="09DC7E1E" w14:textId="77777777" w:rsidR="00CE3826" w:rsidRDefault="00CE3826" w:rsidP="00CE3826">
      <w:pPr>
        <w:widowControl w:val="0"/>
        <w:numPr>
          <w:ilvl w:val="0"/>
          <w:numId w:val="1"/>
        </w:numPr>
        <w:autoSpaceDE w:val="0"/>
        <w:autoSpaceDN w:val="0"/>
        <w:adjustRightInd w:val="0"/>
        <w:spacing w:after="0" w:line="240" w:lineRule="auto"/>
        <w:ind w:left="284" w:hanging="284"/>
        <w:jc w:val="both"/>
      </w:pPr>
      <w:r>
        <w:t>Realizar análisis de correlación</w:t>
      </w:r>
    </w:p>
    <w:p w14:paraId="6ADF0483" w14:textId="77777777" w:rsidR="00CE3826" w:rsidRDefault="00CE3826" w:rsidP="00CE3826">
      <w:pPr>
        <w:widowControl w:val="0"/>
        <w:numPr>
          <w:ilvl w:val="0"/>
          <w:numId w:val="1"/>
        </w:numPr>
        <w:autoSpaceDE w:val="0"/>
        <w:autoSpaceDN w:val="0"/>
        <w:adjustRightInd w:val="0"/>
        <w:spacing w:after="0" w:line="240" w:lineRule="auto"/>
        <w:ind w:left="284" w:hanging="284"/>
        <w:jc w:val="both"/>
      </w:pPr>
      <w:r>
        <w:t>Ajustar modelo de regresión</w:t>
      </w:r>
    </w:p>
    <w:p w14:paraId="08BCF79A" w14:textId="77777777" w:rsidR="00CE3826" w:rsidRDefault="00CE3826" w:rsidP="00CE3826">
      <w:pPr>
        <w:widowControl w:val="0"/>
        <w:numPr>
          <w:ilvl w:val="0"/>
          <w:numId w:val="1"/>
        </w:numPr>
        <w:autoSpaceDE w:val="0"/>
        <w:autoSpaceDN w:val="0"/>
        <w:adjustRightInd w:val="0"/>
        <w:spacing w:after="0" w:line="240" w:lineRule="auto"/>
        <w:ind w:left="284" w:hanging="284"/>
        <w:jc w:val="both"/>
      </w:pPr>
      <w:r>
        <w:t>Realizar prueba de hipótesis sobre significancia de la regresión</w:t>
      </w:r>
    </w:p>
    <w:p w14:paraId="54737289" w14:textId="77777777" w:rsidR="00CE3826" w:rsidRDefault="00CE3826" w:rsidP="00CE3826">
      <w:pPr>
        <w:widowControl w:val="0"/>
        <w:numPr>
          <w:ilvl w:val="0"/>
          <w:numId w:val="1"/>
        </w:numPr>
        <w:autoSpaceDE w:val="0"/>
        <w:autoSpaceDN w:val="0"/>
        <w:adjustRightInd w:val="0"/>
        <w:spacing w:after="0" w:line="240" w:lineRule="auto"/>
        <w:ind w:left="284" w:hanging="284"/>
        <w:jc w:val="both"/>
      </w:pPr>
      <w:r>
        <w:t>Probar por supuestos del modelo</w:t>
      </w:r>
    </w:p>
    <w:p w14:paraId="6BFDD652" w14:textId="77777777" w:rsidR="00CE3826" w:rsidRDefault="00CE3826" w:rsidP="00CE3826">
      <w:pPr>
        <w:widowControl w:val="0"/>
        <w:numPr>
          <w:ilvl w:val="0"/>
          <w:numId w:val="1"/>
        </w:numPr>
        <w:autoSpaceDE w:val="0"/>
        <w:autoSpaceDN w:val="0"/>
        <w:adjustRightInd w:val="0"/>
        <w:spacing w:after="0" w:line="240" w:lineRule="auto"/>
        <w:ind w:left="284" w:hanging="284"/>
        <w:jc w:val="both"/>
      </w:pPr>
      <w:r>
        <w:t>Calcular IC intercepto (a) y pendiente (b)</w:t>
      </w:r>
    </w:p>
    <w:p w14:paraId="0413FEDB" w14:textId="77777777" w:rsidR="00CE3826" w:rsidRDefault="00CE3826" w:rsidP="00CE3826">
      <w:pPr>
        <w:widowControl w:val="0"/>
        <w:numPr>
          <w:ilvl w:val="0"/>
          <w:numId w:val="1"/>
        </w:numPr>
        <w:autoSpaceDE w:val="0"/>
        <w:autoSpaceDN w:val="0"/>
        <w:adjustRightInd w:val="0"/>
        <w:spacing w:after="0" w:line="240" w:lineRule="auto"/>
        <w:ind w:left="284" w:hanging="284"/>
        <w:jc w:val="both"/>
      </w:pPr>
      <w:r>
        <w:t>Realizar prueba de hipótesis sobre el intercepto (a)</w:t>
      </w:r>
    </w:p>
    <w:p w14:paraId="0E24BCCD" w14:textId="77777777" w:rsidR="00CE3826" w:rsidRDefault="00CE3826" w:rsidP="00CE3826">
      <w:pPr>
        <w:widowControl w:val="0"/>
        <w:numPr>
          <w:ilvl w:val="0"/>
          <w:numId w:val="1"/>
        </w:numPr>
        <w:autoSpaceDE w:val="0"/>
        <w:autoSpaceDN w:val="0"/>
        <w:adjustRightInd w:val="0"/>
        <w:spacing w:after="0" w:line="240" w:lineRule="auto"/>
        <w:ind w:left="284" w:hanging="284"/>
        <w:jc w:val="both"/>
      </w:pPr>
      <w:r>
        <w:t>Realizar prueba de hipótesis sobre pendiente (b)</w:t>
      </w:r>
    </w:p>
    <w:p w14:paraId="326BC284" w14:textId="77777777" w:rsidR="00CE3826" w:rsidRDefault="00CE3826" w:rsidP="00CE3826">
      <w:pPr>
        <w:widowControl w:val="0"/>
        <w:numPr>
          <w:ilvl w:val="0"/>
          <w:numId w:val="1"/>
        </w:numPr>
        <w:autoSpaceDE w:val="0"/>
        <w:autoSpaceDN w:val="0"/>
        <w:adjustRightInd w:val="0"/>
        <w:spacing w:after="0" w:line="240" w:lineRule="auto"/>
        <w:ind w:left="284" w:hanging="284"/>
        <w:jc w:val="both"/>
      </w:pPr>
      <w:r>
        <w:t xml:space="preserve">Inferencia sobre el error estándar de estimación (σ </w:t>
      </w:r>
      <w:proofErr w:type="spellStart"/>
      <w:r>
        <w:t>yx</w:t>
      </w:r>
      <w:proofErr w:type="spellEnd"/>
      <w:r>
        <w:t>)</w:t>
      </w:r>
    </w:p>
    <w:p w14:paraId="6B1204B6" w14:textId="77777777" w:rsidR="00CE3826" w:rsidRDefault="00CE3826" w:rsidP="00CE3826">
      <w:pPr>
        <w:widowControl w:val="0"/>
        <w:numPr>
          <w:ilvl w:val="0"/>
          <w:numId w:val="1"/>
        </w:numPr>
        <w:autoSpaceDE w:val="0"/>
        <w:autoSpaceDN w:val="0"/>
        <w:adjustRightInd w:val="0"/>
        <w:spacing w:after="0" w:line="240" w:lineRule="auto"/>
        <w:ind w:left="284" w:hanging="284"/>
        <w:jc w:val="both"/>
      </w:pPr>
      <w:r>
        <w:t>Intervalo de confianza para la media de Y (</w:t>
      </w:r>
      <w:proofErr w:type="spellStart"/>
      <w:r>
        <w:t>μyx</w:t>
      </w:r>
      <w:proofErr w:type="spellEnd"/>
      <w:r>
        <w:t>)</w:t>
      </w:r>
    </w:p>
    <w:p w14:paraId="2D4BB440" w14:textId="77777777" w:rsidR="00CE3826" w:rsidRDefault="00CE3826" w:rsidP="00CE3826">
      <w:pPr>
        <w:widowControl w:val="0"/>
        <w:numPr>
          <w:ilvl w:val="0"/>
          <w:numId w:val="1"/>
        </w:numPr>
        <w:autoSpaceDE w:val="0"/>
        <w:autoSpaceDN w:val="0"/>
        <w:adjustRightInd w:val="0"/>
        <w:spacing w:after="0" w:line="240" w:lineRule="auto"/>
        <w:ind w:left="284" w:hanging="284"/>
        <w:jc w:val="both"/>
      </w:pPr>
      <w:r>
        <w:t>Intervalo de predicción para Y (</w:t>
      </w:r>
      <w:proofErr w:type="spellStart"/>
      <w:r>
        <w:t>Y´x</w:t>
      </w:r>
      <w:proofErr w:type="spellEnd"/>
      <w:r>
        <w:t>)</w:t>
      </w:r>
    </w:p>
    <w:p w14:paraId="4C4ED816" w14:textId="77777777" w:rsidR="00CE3826" w:rsidRPr="002E7E2A" w:rsidRDefault="00CE3826" w:rsidP="00CE3826">
      <w:pPr>
        <w:pStyle w:val="Prrafodelista"/>
        <w:numPr>
          <w:ilvl w:val="0"/>
          <w:numId w:val="1"/>
        </w:numPr>
      </w:pPr>
      <w:r w:rsidRPr="004F70E9">
        <w:t>Validar modelo: Predicción de valores de Y a partir de valores de X</w:t>
      </w:r>
    </w:p>
    <w:p w14:paraId="07C49FDC" w14:textId="77777777" w:rsidR="00CE3826" w:rsidRDefault="00CE3826" w:rsidP="00CE3826">
      <w:pPr>
        <w:widowControl w:val="0"/>
        <w:numPr>
          <w:ilvl w:val="0"/>
          <w:numId w:val="1"/>
        </w:numPr>
        <w:autoSpaceDE w:val="0"/>
        <w:autoSpaceDN w:val="0"/>
        <w:adjustRightInd w:val="0"/>
        <w:spacing w:after="0" w:line="240" w:lineRule="auto"/>
        <w:ind w:left="284" w:hanging="284"/>
        <w:jc w:val="both"/>
      </w:pPr>
      <w:r>
        <w:t>Aplicar el modelo</w:t>
      </w:r>
    </w:p>
    <w:p w14:paraId="62DADFE5" w14:textId="3F8DAF07" w:rsidR="00CE3826" w:rsidRDefault="00CE3826"/>
    <w:p w14:paraId="39806A8C" w14:textId="79631231" w:rsidR="00CE3826" w:rsidRDefault="00CE3826">
      <w:r>
        <w:rPr>
          <w:noProof/>
          <w:lang w:val="es-CR" w:eastAsia="es-CR"/>
        </w:rPr>
        <w:lastRenderedPageBreak/>
        <w:drawing>
          <wp:inline distT="0" distB="0" distL="0" distR="0" wp14:anchorId="7B42A6BF" wp14:editId="4703D72F">
            <wp:extent cx="2146300" cy="2984500"/>
            <wp:effectExtent l="19050" t="0" r="6350" b="0"/>
            <wp:docPr id="180" name="Imagen 180" descr="C:\curso esta uned 2012\teoria\CAPITULO 7\Regre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C:\curso esta uned 2012\teoria\CAPITULO 7\Regresion.emf"/>
                    <pic:cNvPicPr>
                      <a:picLocks noChangeAspect="1" noChangeArrowheads="1"/>
                    </pic:cNvPicPr>
                  </pic:nvPicPr>
                  <pic:blipFill>
                    <a:blip r:embed="rId8" cstate="print"/>
                    <a:srcRect/>
                    <a:stretch>
                      <a:fillRect/>
                    </a:stretch>
                  </pic:blipFill>
                  <pic:spPr bwMode="auto">
                    <a:xfrm>
                      <a:off x="0" y="0"/>
                      <a:ext cx="2146300" cy="2984500"/>
                    </a:xfrm>
                    <a:prstGeom prst="rect">
                      <a:avLst/>
                    </a:prstGeom>
                    <a:noFill/>
                    <a:ln w="9525">
                      <a:noFill/>
                      <a:miter lim="800000"/>
                      <a:headEnd/>
                      <a:tailEnd/>
                    </a:ln>
                  </pic:spPr>
                </pic:pic>
              </a:graphicData>
            </a:graphic>
          </wp:inline>
        </w:drawing>
      </w:r>
    </w:p>
    <w:p w14:paraId="68BDE61F" w14:textId="65C400E8" w:rsidR="00CE3826" w:rsidRDefault="00CE3826"/>
    <w:p w14:paraId="14A41665" w14:textId="77777777" w:rsidR="00CE3826" w:rsidRDefault="00CE3826" w:rsidP="00CE3826">
      <w:pPr>
        <w:numPr>
          <w:ilvl w:val="12"/>
          <w:numId w:val="0"/>
        </w:numPr>
        <w:tabs>
          <w:tab w:val="left" w:pos="-1080"/>
          <w:tab w:val="left" w:pos="-720"/>
          <w:tab w:val="left" w:pos="0"/>
          <w:tab w:val="left" w:pos="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Un modelo de regresión puede utilizarse para:</w:t>
      </w:r>
    </w:p>
    <w:p w14:paraId="75FBCF4B" w14:textId="77777777" w:rsidR="00CE3826" w:rsidRDefault="00CE3826" w:rsidP="00CE3826">
      <w:pPr>
        <w:widowControl w:val="0"/>
        <w:numPr>
          <w:ilvl w:val="0"/>
          <w:numId w:val="2"/>
        </w:numPr>
        <w:tabs>
          <w:tab w:val="left" w:pos="-1080"/>
          <w:tab w:val="left" w:pos="-720"/>
          <w:tab w:val="left" w:pos="0"/>
          <w:tab w:val="left" w:pos="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76" w:lineRule="auto"/>
        <w:jc w:val="both"/>
      </w:pPr>
      <w:r>
        <w:t>Describir la relación entre una variable independiente y una o más varia</w:t>
      </w:r>
      <w:r>
        <w:softHyphen/>
        <w:t>bles predictoras.</w:t>
      </w:r>
    </w:p>
    <w:p w14:paraId="584C6FB3" w14:textId="77777777" w:rsidR="00CE3826" w:rsidRDefault="00CE3826" w:rsidP="00CE3826">
      <w:pPr>
        <w:widowControl w:val="0"/>
        <w:numPr>
          <w:ilvl w:val="0"/>
          <w:numId w:val="2"/>
        </w:numPr>
        <w:tabs>
          <w:tab w:val="left" w:pos="-1080"/>
          <w:tab w:val="left" w:pos="-720"/>
          <w:tab w:val="left" w:pos="0"/>
          <w:tab w:val="left" w:pos="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76" w:lineRule="auto"/>
        <w:jc w:val="both"/>
      </w:pPr>
      <w:r>
        <w:t>Realizar predicciones o estimaciones.</w:t>
      </w:r>
    </w:p>
    <w:p w14:paraId="0765FED2" w14:textId="37AFE183" w:rsidR="00CE3826" w:rsidRDefault="00CE3826" w:rsidP="00CE3826">
      <w:pPr>
        <w:widowControl w:val="0"/>
        <w:numPr>
          <w:ilvl w:val="0"/>
          <w:numId w:val="2"/>
        </w:numPr>
        <w:tabs>
          <w:tab w:val="left" w:pos="-1080"/>
          <w:tab w:val="left" w:pos="-720"/>
          <w:tab w:val="left" w:pos="0"/>
          <w:tab w:val="left" w:pos="2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76" w:lineRule="auto"/>
        <w:jc w:val="both"/>
      </w:pPr>
      <w:r>
        <w:t>Comp</w:t>
      </w:r>
      <w:r w:rsidR="00B03E91">
        <w:t>arar</w:t>
      </w:r>
      <w:r>
        <w:t xml:space="preserve"> valores de dos fuentes independientes (método de control).</w:t>
      </w:r>
    </w:p>
    <w:p w14:paraId="2B63A889" w14:textId="4286CB8F" w:rsidR="00CE3826" w:rsidRDefault="00CE3826"/>
    <w:p w14:paraId="483BFBB3" w14:textId="4033D832" w:rsidR="00BB7DF2" w:rsidRDefault="00BB7DF2"/>
    <w:p w14:paraId="1FF9CBA9" w14:textId="77777777" w:rsidR="00BB7DF2" w:rsidRDefault="00BB7DF2"/>
    <w:p w14:paraId="707B43A8" w14:textId="77777777" w:rsidR="00BB7DF2" w:rsidRDefault="00BB7DF2" w:rsidP="00BB7DF2">
      <w:pPr>
        <w:numPr>
          <w:ilvl w:val="12"/>
          <w:numId w:val="0"/>
        </w:numPr>
        <w:tabs>
          <w:tab w:val="left" w:pos="-1113"/>
          <w:tab w:val="left" w:pos="-720"/>
          <w:tab w:val="left" w:pos="0"/>
          <w:tab w:val="left" w:pos="260"/>
          <w:tab w:val="left" w:pos="963"/>
          <w:tab w:val="left" w:pos="1734"/>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t>Los supuestos del modelo de regresión son:</w:t>
      </w:r>
    </w:p>
    <w:p w14:paraId="43DF752C" w14:textId="77777777" w:rsidR="00BB7DF2" w:rsidRDefault="00BB7DF2" w:rsidP="00BB7DF2">
      <w:pPr>
        <w:widowControl w:val="0"/>
        <w:numPr>
          <w:ilvl w:val="0"/>
          <w:numId w:val="3"/>
        </w:numPr>
        <w:tabs>
          <w:tab w:val="left" w:pos="-1113"/>
          <w:tab w:val="left" w:pos="-720"/>
          <w:tab w:val="left" w:pos="0"/>
          <w:tab w:val="left" w:pos="260"/>
          <w:tab w:val="left" w:pos="963"/>
          <w:tab w:val="left" w:pos="1734"/>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76" w:lineRule="auto"/>
        <w:jc w:val="both"/>
      </w:pPr>
      <w:r>
        <w:t xml:space="preserve">Los valores de “X” se encuentran libres de error ya sea debido a muestreo o medición, en otras </w:t>
      </w:r>
      <w:proofErr w:type="gramStart"/>
      <w:r>
        <w:t>palabras</w:t>
      </w:r>
      <w:proofErr w:type="gramEnd"/>
      <w:r>
        <w:t xml:space="preserve"> las “X” son constantes que pueden medirse.</w:t>
      </w:r>
    </w:p>
    <w:p w14:paraId="6E9EFD9C" w14:textId="77777777" w:rsidR="00BB7DF2" w:rsidRDefault="00BB7DF2" w:rsidP="00BB7DF2">
      <w:pPr>
        <w:widowControl w:val="0"/>
        <w:numPr>
          <w:ilvl w:val="0"/>
          <w:numId w:val="3"/>
        </w:numPr>
        <w:tabs>
          <w:tab w:val="left" w:pos="-1113"/>
          <w:tab w:val="left" w:pos="-720"/>
          <w:tab w:val="left" w:pos="0"/>
          <w:tab w:val="left" w:pos="260"/>
          <w:tab w:val="left" w:pos="963"/>
          <w:tab w:val="left" w:pos="1734"/>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76" w:lineRule="auto"/>
        <w:jc w:val="both"/>
      </w:pPr>
      <w:r>
        <w:t>La distribución de “Y” para cada valor de “X” es normal (Fig.5). Este supuesto es esencial para realizar pruebas de hipótesis y calcular intervalos de confianza paramétricos.</w:t>
      </w:r>
    </w:p>
    <w:p w14:paraId="647447B3" w14:textId="77777777" w:rsidR="00BB7DF2" w:rsidRDefault="00BB7DF2" w:rsidP="00BB7DF2">
      <w:pPr>
        <w:widowControl w:val="0"/>
        <w:numPr>
          <w:ilvl w:val="0"/>
          <w:numId w:val="3"/>
        </w:numPr>
        <w:tabs>
          <w:tab w:val="left" w:pos="-1113"/>
          <w:tab w:val="left" w:pos="-720"/>
          <w:tab w:val="left" w:pos="0"/>
          <w:tab w:val="left" w:pos="260"/>
          <w:tab w:val="left" w:pos="963"/>
          <w:tab w:val="left" w:pos="1734"/>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76" w:lineRule="auto"/>
        <w:jc w:val="both"/>
      </w:pPr>
      <w:r>
        <w:t>La varianza poblacional de “Y” es la misma para cada valor medio de “X” (supuesto de homocedasticidad; Fig. 5).  Este supuesto es esencial para realizar pruebas de hipótesis y calcular intervalos de confianza paramétricos.</w:t>
      </w:r>
    </w:p>
    <w:p w14:paraId="5BEF8BF2" w14:textId="77777777" w:rsidR="00BB7DF2" w:rsidRDefault="00BB7DF2" w:rsidP="00BB7DF2">
      <w:pPr>
        <w:widowControl w:val="0"/>
        <w:numPr>
          <w:ilvl w:val="0"/>
          <w:numId w:val="3"/>
        </w:numPr>
        <w:tabs>
          <w:tab w:val="left" w:pos="-1113"/>
          <w:tab w:val="left" w:pos="-720"/>
          <w:tab w:val="left" w:pos="0"/>
          <w:tab w:val="left" w:pos="260"/>
          <w:tab w:val="left" w:pos="963"/>
          <w:tab w:val="left" w:pos="1734"/>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76" w:lineRule="auto"/>
        <w:jc w:val="both"/>
      </w:pPr>
      <w:r w:rsidRPr="00744D3B">
        <w:t xml:space="preserve">La media poblacional de “Y” es una función lineal de “X” (principio de linealidad). </w:t>
      </w:r>
      <w:r w:rsidRPr="00516FBF">
        <w:rPr>
          <w:rFonts w:ascii="Calibri" w:eastAsia="Calibri" w:hAnsi="Calibri"/>
          <w:position w:val="-14"/>
        </w:rPr>
        <w:object w:dxaOrig="1499" w:dyaOrig="380" w14:anchorId="0884FA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3pt;height:15.05pt" o:ole="">
            <v:imagedata r:id="rId9" o:title=""/>
          </v:shape>
          <o:OLEObject Type="Embed" ProgID="Equation.3" ShapeID="_x0000_i1025" DrawAspect="Content" ObjectID="_1659442310" r:id="rId10"/>
        </w:object>
      </w:r>
    </w:p>
    <w:p w14:paraId="0FD8AEAA" w14:textId="77777777" w:rsidR="00BB7DF2" w:rsidRDefault="00BB7DF2" w:rsidP="00BB7DF2">
      <w:pPr>
        <w:widowControl w:val="0"/>
        <w:numPr>
          <w:ilvl w:val="0"/>
          <w:numId w:val="3"/>
        </w:numPr>
        <w:tabs>
          <w:tab w:val="left" w:pos="-1113"/>
          <w:tab w:val="left" w:pos="-720"/>
          <w:tab w:val="left" w:pos="0"/>
          <w:tab w:val="left" w:pos="260"/>
          <w:tab w:val="left" w:pos="963"/>
          <w:tab w:val="left" w:pos="1734"/>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after="0" w:line="276" w:lineRule="auto"/>
        <w:jc w:val="both"/>
      </w:pPr>
      <w:r w:rsidRPr="00744D3B">
        <w:t xml:space="preserve">Los residuos (Y-Y') son independientes, o sea </w:t>
      </w:r>
      <w:r w:rsidRPr="00102527">
        <w:t>E(</w:t>
      </w:r>
      <w:proofErr w:type="spellStart"/>
      <w:r w:rsidRPr="00102527">
        <w:t>e</w:t>
      </w:r>
      <w:r w:rsidRPr="00744D3B">
        <w:rPr>
          <w:vertAlign w:val="subscript"/>
        </w:rPr>
        <w:t>i</w:t>
      </w:r>
      <w:r w:rsidRPr="00102527">
        <w:t>e</w:t>
      </w:r>
      <w:r w:rsidRPr="00744D3B">
        <w:rPr>
          <w:vertAlign w:val="subscript"/>
        </w:rPr>
        <w:t>j</w:t>
      </w:r>
      <w:proofErr w:type="spellEnd"/>
      <w:r w:rsidRPr="00102527">
        <w:t>)=0 (i&lt;&gt;j)</w:t>
      </w:r>
      <w:r>
        <w:t xml:space="preserve"> y su distribución es normal </w:t>
      </w:r>
      <w:proofErr w:type="gramStart"/>
      <w:r w:rsidRPr="00744D3B">
        <w:t>E(</w:t>
      </w:r>
      <w:proofErr w:type="gramEnd"/>
      <w:r w:rsidRPr="00744D3B">
        <w:t>e</w:t>
      </w:r>
      <w:r w:rsidRPr="00744D3B">
        <w:rPr>
          <w:vertAlign w:val="superscript"/>
        </w:rPr>
        <w:t>2</w:t>
      </w:r>
      <w:r w:rsidRPr="00744D3B">
        <w:rPr>
          <w:vertAlign w:val="subscript"/>
        </w:rPr>
        <w:t xml:space="preserve">i = </w:t>
      </w:r>
      <w:r w:rsidRPr="00744D3B">
        <w:rPr>
          <w:sz w:val="32"/>
          <w:szCs w:val="32"/>
          <w:vertAlign w:val="subscript"/>
        </w:rPr>
        <w:t>σ</w:t>
      </w:r>
      <w:r w:rsidRPr="00744D3B">
        <w:rPr>
          <w:sz w:val="32"/>
          <w:szCs w:val="32"/>
          <w:vertAlign w:val="superscript"/>
        </w:rPr>
        <w:t>2</w:t>
      </w:r>
      <w:r w:rsidRPr="00744D3B">
        <w:t>).  Esto es equivalente a demostrar que las “Y” observadas a diferentes valores de “X” son independientes.</w:t>
      </w:r>
    </w:p>
    <w:p w14:paraId="06937DC1" w14:textId="634C0A4F" w:rsidR="00CE3826" w:rsidRDefault="00CE3826"/>
    <w:p w14:paraId="67AF6C76" w14:textId="31D683E9" w:rsidR="00CE3826" w:rsidRDefault="00CE3826" w:rsidP="00CE3826">
      <w:pPr>
        <w:tabs>
          <w:tab w:val="left" w:pos="142"/>
        </w:tabs>
      </w:pPr>
      <w:r>
        <w:lastRenderedPageBreak/>
        <w:tab/>
        <w:t>.</w:t>
      </w:r>
    </w:p>
    <w:p w14:paraId="7734778D" w14:textId="194F3109" w:rsidR="00CE3826" w:rsidRDefault="00BB7DF2">
      <w:r w:rsidRPr="00C479DE">
        <w:rPr>
          <w:noProof/>
          <w:lang w:val="es-CR" w:eastAsia="es-CR"/>
        </w:rPr>
        <w:drawing>
          <wp:inline distT="0" distB="0" distL="0" distR="0" wp14:anchorId="0E18DBEC" wp14:editId="6AB9A24E">
            <wp:extent cx="3382598" cy="1874511"/>
            <wp:effectExtent l="19050" t="19050" r="27352" b="11439"/>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380981" cy="1873615"/>
                    </a:xfrm>
                    <a:prstGeom prst="rect">
                      <a:avLst/>
                    </a:prstGeom>
                    <a:noFill/>
                    <a:ln w="9525">
                      <a:solidFill>
                        <a:schemeClr val="accent1"/>
                      </a:solidFill>
                      <a:miter lim="800000"/>
                      <a:headEnd/>
                      <a:tailEnd/>
                    </a:ln>
                  </pic:spPr>
                </pic:pic>
              </a:graphicData>
            </a:graphic>
          </wp:inline>
        </w:drawing>
      </w:r>
    </w:p>
    <w:p w14:paraId="41858EF4" w14:textId="4DA87F08" w:rsidR="00BB7DF2" w:rsidRDefault="00BB7DF2">
      <w:r>
        <w:t>Fig. 5.</w:t>
      </w:r>
    </w:p>
    <w:p w14:paraId="541E2DA5" w14:textId="24CA07AF" w:rsidR="00BB7DF2" w:rsidRDefault="00BB7DF2"/>
    <w:p w14:paraId="759577E6" w14:textId="77777777" w:rsidR="00BB7DF2" w:rsidRDefault="00BB7DF2"/>
    <w:sectPr w:rsidR="00BB7DF2">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BC380A" w14:textId="77777777" w:rsidR="00D10EFA" w:rsidRDefault="00D10EFA" w:rsidP="00BB7DF2">
      <w:pPr>
        <w:spacing w:after="0" w:line="240" w:lineRule="auto"/>
      </w:pPr>
      <w:r>
        <w:separator/>
      </w:r>
    </w:p>
  </w:endnote>
  <w:endnote w:type="continuationSeparator" w:id="0">
    <w:p w14:paraId="55CD111C" w14:textId="77777777" w:rsidR="00D10EFA" w:rsidRDefault="00D10EFA" w:rsidP="00BB7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5545D8" w14:textId="77777777" w:rsidR="00D10EFA" w:rsidRDefault="00D10EFA" w:rsidP="00BB7DF2">
      <w:pPr>
        <w:spacing w:after="0" w:line="240" w:lineRule="auto"/>
      </w:pPr>
      <w:r>
        <w:separator/>
      </w:r>
    </w:p>
  </w:footnote>
  <w:footnote w:type="continuationSeparator" w:id="0">
    <w:p w14:paraId="24F09F68" w14:textId="77777777" w:rsidR="00D10EFA" w:rsidRDefault="00D10EFA" w:rsidP="00BB7D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6DF99" w14:textId="32DF6233" w:rsidR="00BB7DF2" w:rsidRDefault="00BB7DF2">
    <w:pPr>
      <w:pStyle w:val="Encabezado"/>
    </w:pPr>
  </w:p>
  <w:p w14:paraId="3EC6FAEC" w14:textId="77777777" w:rsidR="00BB7DF2" w:rsidRDefault="00BB7D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681691"/>
    <w:multiLevelType w:val="hybridMultilevel"/>
    <w:tmpl w:val="CCDEEBC6"/>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482A31FD"/>
    <w:multiLevelType w:val="hybridMultilevel"/>
    <w:tmpl w:val="0B44995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5740B0A"/>
    <w:multiLevelType w:val="hybridMultilevel"/>
    <w:tmpl w:val="82DCAEC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826"/>
    <w:rsid w:val="00897DCF"/>
    <w:rsid w:val="00B03E91"/>
    <w:rsid w:val="00BB7DF2"/>
    <w:rsid w:val="00CE3826"/>
    <w:rsid w:val="00D10EFA"/>
    <w:rsid w:val="00D27248"/>
    <w:rsid w:val="00D4772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4BEE4"/>
  <w15:chartTrackingRefBased/>
  <w15:docId w15:val="{2759580D-B2B8-4F8F-89DB-E49F5F968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3826"/>
    <w:pPr>
      <w:widowControl w:val="0"/>
      <w:autoSpaceDE w:val="0"/>
      <w:autoSpaceDN w:val="0"/>
      <w:adjustRightInd w:val="0"/>
      <w:spacing w:after="0" w:line="276" w:lineRule="auto"/>
      <w:ind w:left="720"/>
      <w:contextualSpacing/>
      <w:jc w:val="both"/>
    </w:pPr>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unhideWhenUsed/>
    <w:rsid w:val="00BB7D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7DF2"/>
  </w:style>
  <w:style w:type="paragraph" w:styleId="Piedepgina">
    <w:name w:val="footer"/>
    <w:basedOn w:val="Normal"/>
    <w:link w:val="PiedepginaCar"/>
    <w:uiPriority w:val="99"/>
    <w:unhideWhenUsed/>
    <w:rsid w:val="00BB7D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7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347</Words>
  <Characters>1911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Alonso Mauricio Ruiz Lagos</dc:creator>
  <cp:keywords/>
  <dc:description/>
  <cp:lastModifiedBy>Alonso Mauricio Ruiz Lagos</cp:lastModifiedBy>
  <cp:revision>2</cp:revision>
  <dcterms:created xsi:type="dcterms:W3CDTF">2020-08-20T19:25:00Z</dcterms:created>
  <dcterms:modified xsi:type="dcterms:W3CDTF">2020-08-20T19:25:00Z</dcterms:modified>
</cp:coreProperties>
</file>