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Метель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В конце </w:t>
      </w:r>
      <w:r>
        <w:rPr>
          <w:rFonts w:ascii="Times" w:hAnsi="Times" w:cs="Times"/>
          <w:sz w:val="24"/>
          <w:sz-cs w:val="24"/>
          <w:i/>
          <w:spacing w:val="0"/>
        </w:rPr>
        <w:t xml:space="preserve">1811 года</w:t>
      </w:r>
      <w:r>
        <w:rPr>
          <w:rFonts w:ascii="Times" w:hAnsi="Times" w:cs="Times"/>
          <w:sz w:val="24"/>
          <w:sz-cs w:val="24"/>
          <w:spacing w:val="0"/>
        </w:rPr>
        <w:t xml:space="preserve">, в эпоху нам достопамятную, жил в своем поместье Ненарадове добрый Гаврила Гаврилович Р**.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II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Марья Гавриловна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Владимир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