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758A" w:rsidRPr="002429B4" w:rsidRDefault="00F9758A" w:rsidP="00F9758A">
      <w:pPr>
        <w:pStyle w:val="Title"/>
        <w:jc w:val="center"/>
      </w:pPr>
      <w:r w:rsidRPr="002429B4">
        <w:t>Is Kettering a Diverse Community?</w:t>
      </w:r>
    </w:p>
    <w:p w:rsidR="00F9758A" w:rsidRPr="002429B4" w:rsidRDefault="00F9758A" w:rsidP="00F9758A">
      <w:pPr>
        <w:pStyle w:val="Title"/>
        <w:jc w:val="center"/>
      </w:pPr>
      <w:r w:rsidRPr="002429B4">
        <w:rPr>
          <w:noProof/>
        </w:rPr>
        <mc:AlternateContent>
          <mc:Choice Requires="cx1">
            <w:drawing>
              <wp:inline distT="0" distB="0" distL="0" distR="0" wp14:anchorId="79AA0533" wp14:editId="08F4B54F">
                <wp:extent cx="5943600" cy="3537585"/>
                <wp:effectExtent l="0" t="0" r="0" b="5715"/>
                <wp:docPr id="1"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79AA0533" wp14:editId="08F4B54F">
                <wp:extent cx="5943600" cy="3537585"/>
                <wp:effectExtent l="0" t="0" r="0" b="5715"/>
                <wp:docPr id="1"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Chart 1"/>
                        <pic:cNvPicPr>
                          <a:picLocks noGrp="1" noRot="1" noChangeAspect="1" noMove="1" noResize="1" noEditPoints="1" noAdjustHandles="1" noChangeArrowheads="1" noChangeShapeType="1"/>
                        </pic:cNvPicPr>
                      </pic:nvPicPr>
                      <pic:blipFill>
                        <a:blip r:embed="rId6"/>
                        <a:stretch>
                          <a:fillRect/>
                        </a:stretch>
                      </pic:blipFill>
                      <pic:spPr>
                        <a:xfrm>
                          <a:off x="0" y="0"/>
                          <a:ext cx="5943600" cy="3537585"/>
                        </a:xfrm>
                        <a:prstGeom prst="rect">
                          <a:avLst/>
                        </a:prstGeom>
                      </pic:spPr>
                    </pic:pic>
                  </a:graphicData>
                </a:graphic>
              </wp:inline>
            </w:drawing>
          </mc:Fallback>
        </mc:AlternateContent>
      </w:r>
      <w:r w:rsidR="00C72D0F" w:rsidRPr="00686693">
        <w:rPr>
          <w:rFonts w:ascii="Times New Roman" w:hAnsi="Times New Roman" w:cs="Times New Roman"/>
          <w:noProof/>
        </w:rPr>
        <w:drawing>
          <wp:inline distT="0" distB="0" distL="0" distR="0" wp14:anchorId="319096E6" wp14:editId="12F9C595">
            <wp:extent cx="3128876" cy="1381125"/>
            <wp:effectExtent l="0" t="0" r="0" b="0"/>
            <wp:docPr id="4" name="Picture 4" descr="C:\Users\Student\Downloads\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black.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4324" cy="1383530"/>
                    </a:xfrm>
                    <a:prstGeom prst="rect">
                      <a:avLst/>
                    </a:prstGeom>
                    <a:noFill/>
                    <a:ln>
                      <a:noFill/>
                    </a:ln>
                  </pic:spPr>
                </pic:pic>
              </a:graphicData>
            </a:graphic>
          </wp:inline>
        </w:drawing>
      </w:r>
      <w:r w:rsidR="00C72D0F" w:rsidRPr="00686693">
        <w:rPr>
          <w:rFonts w:ascii="Times New Roman" w:hAnsi="Times New Roman" w:cs="Times New Roman"/>
          <w:b/>
          <w:noProof/>
          <w:sz w:val="24"/>
          <w:szCs w:val="24"/>
        </w:rPr>
        <w:drawing>
          <wp:inline distT="0" distB="0" distL="0" distR="0" wp14:anchorId="131D984F" wp14:editId="7168C47F">
            <wp:extent cx="2762250" cy="1498620"/>
            <wp:effectExtent l="0" t="0" r="0" b="6350"/>
            <wp:docPr id="3" name="Picture 3" descr="C:\Users\Student\Downloads\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whit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3736" cy="1499426"/>
                    </a:xfrm>
                    <a:prstGeom prst="rect">
                      <a:avLst/>
                    </a:prstGeom>
                    <a:noFill/>
                    <a:ln>
                      <a:noFill/>
                    </a:ln>
                  </pic:spPr>
                </pic:pic>
              </a:graphicData>
            </a:graphic>
          </wp:inline>
        </w:drawing>
      </w:r>
      <w:r w:rsidR="00C72D0F" w:rsidRPr="00686693">
        <w:rPr>
          <w:rFonts w:ascii="Times New Roman" w:hAnsi="Times New Roman" w:cs="Times New Roman"/>
          <w:b/>
          <w:sz w:val="24"/>
          <w:szCs w:val="24"/>
          <w:u w:val="single"/>
        </w:rPr>
        <w:br/>
      </w:r>
      <w:r w:rsidR="00C72D0F" w:rsidRPr="00686693">
        <w:rPr>
          <w:rFonts w:ascii="Times New Roman" w:hAnsi="Times New Roman" w:cs="Times New Roman"/>
          <w:b/>
          <w:sz w:val="24"/>
          <w:szCs w:val="24"/>
        </w:rPr>
        <w:tab/>
      </w:r>
      <w:r w:rsidR="00C72D0F" w:rsidRPr="00686693">
        <w:rPr>
          <w:rFonts w:ascii="Times New Roman" w:hAnsi="Times New Roman" w:cs="Times New Roman"/>
          <w:b/>
          <w:sz w:val="24"/>
          <w:szCs w:val="24"/>
        </w:rPr>
        <w:tab/>
        <w:t>Black Population Table</w:t>
      </w:r>
      <w:r w:rsidR="00C72D0F" w:rsidRPr="00686693">
        <w:rPr>
          <w:rFonts w:ascii="Times New Roman" w:hAnsi="Times New Roman" w:cs="Times New Roman"/>
          <w:b/>
          <w:sz w:val="24"/>
          <w:szCs w:val="24"/>
        </w:rPr>
        <w:tab/>
      </w:r>
      <w:r w:rsidR="00C72D0F" w:rsidRPr="00686693">
        <w:rPr>
          <w:rFonts w:ascii="Times New Roman" w:hAnsi="Times New Roman" w:cs="Times New Roman"/>
          <w:b/>
          <w:sz w:val="24"/>
          <w:szCs w:val="24"/>
        </w:rPr>
        <w:tab/>
      </w:r>
      <w:r w:rsidR="00C72D0F" w:rsidRPr="00686693">
        <w:rPr>
          <w:rFonts w:ascii="Times New Roman" w:hAnsi="Times New Roman" w:cs="Times New Roman"/>
          <w:b/>
          <w:sz w:val="24"/>
          <w:szCs w:val="24"/>
        </w:rPr>
        <w:tab/>
        <w:t>White Population Table</w:t>
      </w:r>
    </w:p>
    <w:p w:rsidR="00DB51BE" w:rsidRPr="002429B4" w:rsidRDefault="00DB51BE" w:rsidP="00F9758A">
      <w:pPr>
        <w:pStyle w:val="Title"/>
        <w:rPr>
          <w:rFonts w:ascii="Comic Sans MS" w:hAnsi="Comic Sans MS"/>
          <w:b/>
          <w:sz w:val="24"/>
          <w:szCs w:val="24"/>
          <w:u w:val="single"/>
        </w:rPr>
      </w:pPr>
      <w:r w:rsidRPr="002429B4">
        <w:rPr>
          <w:rFonts w:ascii="Comic Sans MS" w:hAnsi="Comic Sans MS"/>
          <w:b/>
          <w:sz w:val="24"/>
          <w:szCs w:val="24"/>
          <w:u w:val="single"/>
        </w:rPr>
        <w:t>Source</w:t>
      </w:r>
      <w:r w:rsidR="00491CA2" w:rsidRPr="002429B4">
        <w:rPr>
          <w:rFonts w:ascii="Comic Sans MS" w:hAnsi="Comic Sans MS"/>
          <w:b/>
          <w:sz w:val="24"/>
          <w:szCs w:val="24"/>
          <w:u w:val="single"/>
        </w:rPr>
        <w:t>s</w:t>
      </w:r>
    </w:p>
    <w:tbl>
      <w:tblPr>
        <w:tblW w:w="7900" w:type="dxa"/>
        <w:tblLook w:val="04A0" w:firstRow="1" w:lastRow="0" w:firstColumn="1" w:lastColumn="0" w:noHBand="0" w:noVBand="1"/>
      </w:tblPr>
      <w:tblGrid>
        <w:gridCol w:w="8996"/>
      </w:tblGrid>
      <w:tr w:rsidR="00DB51BE" w:rsidRPr="00DB51BE" w:rsidTr="00DB51BE">
        <w:trPr>
          <w:trHeight w:val="300"/>
        </w:trPr>
        <w:tc>
          <w:tcPr>
            <w:tcW w:w="7900" w:type="dxa"/>
            <w:tcBorders>
              <w:top w:val="nil"/>
              <w:left w:val="nil"/>
              <w:bottom w:val="nil"/>
              <w:right w:val="nil"/>
            </w:tcBorders>
            <w:shd w:val="clear" w:color="auto" w:fill="auto"/>
            <w:noWrap/>
            <w:vAlign w:val="bottom"/>
            <w:hideMark/>
          </w:tcPr>
          <w:p w:rsidR="00DB51BE" w:rsidRPr="002429B4" w:rsidRDefault="00DB51BE" w:rsidP="00491CA2">
            <w:pPr>
              <w:pStyle w:val="ListParagraph"/>
              <w:numPr>
                <w:ilvl w:val="0"/>
                <w:numId w:val="1"/>
              </w:numPr>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"Population: Percent of population by race, White, 2010",,</w:t>
            </w:r>
          </w:p>
        </w:tc>
      </w:tr>
      <w:tr w:rsidR="00DB51BE" w:rsidRPr="00DB51BE" w:rsidTr="00DB51BE">
        <w:trPr>
          <w:trHeight w:val="300"/>
        </w:trPr>
        <w:tc>
          <w:tcPr>
            <w:tcW w:w="7900" w:type="dxa"/>
            <w:tcBorders>
              <w:top w:val="nil"/>
              <w:left w:val="nil"/>
              <w:bottom w:val="nil"/>
              <w:right w:val="nil"/>
            </w:tcBorders>
            <w:shd w:val="clear" w:color="auto" w:fill="auto"/>
            <w:noWrap/>
            <w:vAlign w:val="bottom"/>
            <w:hideMark/>
          </w:tcPr>
          <w:p w:rsidR="00DB51BE" w:rsidRPr="002429B4" w:rsidRDefault="00DB51BE" w:rsidP="002429B4">
            <w:pPr>
              <w:pStyle w:val="ListParagraph"/>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Data Source: US Census, 2010,,</w:t>
            </w:r>
          </w:p>
        </w:tc>
      </w:tr>
      <w:tr w:rsidR="00DB51BE" w:rsidRPr="00DB51BE" w:rsidTr="00DB51BE">
        <w:trPr>
          <w:trHeight w:val="87"/>
        </w:trPr>
        <w:tc>
          <w:tcPr>
            <w:tcW w:w="7900" w:type="dxa"/>
            <w:tcBorders>
              <w:top w:val="nil"/>
              <w:left w:val="nil"/>
              <w:bottom w:val="nil"/>
              <w:right w:val="nil"/>
            </w:tcBorders>
            <w:shd w:val="clear" w:color="auto" w:fill="auto"/>
            <w:noWrap/>
            <w:vAlign w:val="bottom"/>
            <w:hideMark/>
          </w:tcPr>
          <w:p w:rsidR="00DB51BE" w:rsidRPr="00DB51BE" w:rsidRDefault="00DB51BE" w:rsidP="00DB51BE">
            <w:pPr>
              <w:spacing w:after="0" w:line="240" w:lineRule="auto"/>
              <w:rPr>
                <w:rFonts w:ascii="Comic Sans MS" w:eastAsia="Times New Roman" w:hAnsi="Comic Sans MS" w:cs="Times New Roman"/>
                <w:color w:val="000000"/>
                <w:sz w:val="24"/>
                <w:szCs w:val="24"/>
              </w:rPr>
            </w:pPr>
          </w:p>
        </w:tc>
      </w:tr>
      <w:tr w:rsidR="00DB51BE" w:rsidRPr="00DB51BE" w:rsidTr="00DB51BE">
        <w:trPr>
          <w:trHeight w:val="300"/>
        </w:trPr>
        <w:tc>
          <w:tcPr>
            <w:tcW w:w="7900" w:type="dxa"/>
            <w:tcBorders>
              <w:top w:val="nil"/>
              <w:left w:val="nil"/>
              <w:bottom w:val="nil"/>
              <w:right w:val="nil"/>
            </w:tcBorders>
            <w:shd w:val="clear" w:color="auto" w:fill="auto"/>
            <w:noWrap/>
            <w:vAlign w:val="bottom"/>
            <w:hideMark/>
          </w:tcPr>
          <w:p w:rsidR="00DB51BE" w:rsidRPr="002429B4" w:rsidRDefault="00DB51BE" w:rsidP="002429B4">
            <w:pPr>
              <w:pStyle w:val="ListParagraph"/>
              <w:numPr>
                <w:ilvl w:val="0"/>
                <w:numId w:val="1"/>
              </w:numPr>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"Population: Percent of population by ethnicity, Hispanic, 2010",,</w:t>
            </w:r>
          </w:p>
        </w:tc>
      </w:tr>
      <w:tr w:rsidR="00DB51BE" w:rsidRPr="00DB51BE" w:rsidTr="00DB51BE">
        <w:trPr>
          <w:trHeight w:val="87"/>
        </w:trPr>
        <w:tc>
          <w:tcPr>
            <w:tcW w:w="7900" w:type="dxa"/>
            <w:tcBorders>
              <w:top w:val="nil"/>
              <w:left w:val="nil"/>
              <w:bottom w:val="nil"/>
              <w:right w:val="nil"/>
            </w:tcBorders>
            <w:shd w:val="clear" w:color="auto" w:fill="auto"/>
            <w:noWrap/>
            <w:vAlign w:val="bottom"/>
            <w:hideMark/>
          </w:tcPr>
          <w:p w:rsidR="00DB51BE" w:rsidRPr="002429B4" w:rsidRDefault="00DB51BE" w:rsidP="002429B4">
            <w:pPr>
              <w:pStyle w:val="ListParagraph"/>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Data Source: US Census, 2010,,</w:t>
            </w:r>
          </w:p>
        </w:tc>
      </w:tr>
      <w:tr w:rsidR="00DB51BE" w:rsidRPr="00DB51BE" w:rsidTr="00DB51BE">
        <w:trPr>
          <w:trHeight w:val="87"/>
        </w:trPr>
        <w:tc>
          <w:tcPr>
            <w:tcW w:w="7900" w:type="dxa"/>
            <w:tcBorders>
              <w:top w:val="nil"/>
              <w:left w:val="nil"/>
              <w:bottom w:val="nil"/>
              <w:right w:val="nil"/>
            </w:tcBorders>
            <w:shd w:val="clear" w:color="auto" w:fill="auto"/>
            <w:noWrap/>
            <w:vAlign w:val="bottom"/>
            <w:hideMark/>
          </w:tcPr>
          <w:p w:rsidR="00DB51BE" w:rsidRPr="00DB51BE" w:rsidRDefault="00DB51BE" w:rsidP="00DB51BE">
            <w:pPr>
              <w:spacing w:after="0" w:line="240" w:lineRule="auto"/>
              <w:rPr>
                <w:rFonts w:ascii="Comic Sans MS" w:eastAsia="Times New Roman" w:hAnsi="Comic Sans MS" w:cs="Times New Roman"/>
                <w:color w:val="000000"/>
                <w:sz w:val="24"/>
                <w:szCs w:val="24"/>
              </w:rPr>
            </w:pPr>
          </w:p>
        </w:tc>
      </w:tr>
      <w:tr w:rsidR="00DB51BE" w:rsidRPr="00DB51BE" w:rsidTr="00DB51BE">
        <w:trPr>
          <w:trHeight w:val="300"/>
        </w:trPr>
        <w:tc>
          <w:tcPr>
            <w:tcW w:w="7900" w:type="dxa"/>
            <w:tcBorders>
              <w:top w:val="nil"/>
              <w:left w:val="nil"/>
              <w:bottom w:val="nil"/>
              <w:right w:val="nil"/>
            </w:tcBorders>
            <w:shd w:val="clear" w:color="auto" w:fill="auto"/>
            <w:noWrap/>
            <w:vAlign w:val="bottom"/>
            <w:hideMark/>
          </w:tcPr>
          <w:p w:rsidR="00DB51BE" w:rsidRPr="002429B4" w:rsidRDefault="00DB51BE" w:rsidP="002429B4">
            <w:pPr>
              <w:pStyle w:val="ListParagraph"/>
              <w:numPr>
                <w:ilvl w:val="0"/>
                <w:numId w:val="1"/>
              </w:numPr>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Population: Percent of population by race, Black, 2010",,</w:t>
            </w:r>
          </w:p>
        </w:tc>
      </w:tr>
      <w:tr w:rsidR="00DB51BE" w:rsidRPr="00DB51BE" w:rsidTr="00DB51BE">
        <w:trPr>
          <w:trHeight w:val="87"/>
        </w:trPr>
        <w:tc>
          <w:tcPr>
            <w:tcW w:w="7900" w:type="dxa"/>
            <w:tcBorders>
              <w:top w:val="nil"/>
              <w:left w:val="nil"/>
              <w:bottom w:val="nil"/>
              <w:right w:val="nil"/>
            </w:tcBorders>
            <w:shd w:val="clear" w:color="auto" w:fill="auto"/>
            <w:noWrap/>
            <w:vAlign w:val="bottom"/>
            <w:hideMark/>
          </w:tcPr>
          <w:p w:rsidR="00DB51BE" w:rsidRPr="002429B4" w:rsidRDefault="00DB51BE" w:rsidP="002429B4">
            <w:pPr>
              <w:pStyle w:val="ListParagraph"/>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Data Source: US Census Bureau, 2010,,</w:t>
            </w:r>
          </w:p>
        </w:tc>
      </w:tr>
      <w:tr w:rsidR="00DB51BE" w:rsidRPr="00DB51BE" w:rsidTr="00DB51BE">
        <w:trPr>
          <w:trHeight w:val="87"/>
        </w:trPr>
        <w:tc>
          <w:tcPr>
            <w:tcW w:w="7900" w:type="dxa"/>
            <w:tcBorders>
              <w:top w:val="nil"/>
              <w:left w:val="nil"/>
              <w:bottom w:val="nil"/>
              <w:right w:val="nil"/>
            </w:tcBorders>
            <w:shd w:val="clear" w:color="auto" w:fill="auto"/>
            <w:noWrap/>
            <w:vAlign w:val="bottom"/>
            <w:hideMark/>
          </w:tcPr>
          <w:p w:rsidR="00DB51BE" w:rsidRPr="00DB51BE" w:rsidRDefault="00DB51BE" w:rsidP="00DB51BE">
            <w:pPr>
              <w:spacing w:after="0" w:line="240" w:lineRule="auto"/>
              <w:rPr>
                <w:rFonts w:ascii="Comic Sans MS" w:eastAsia="Times New Roman" w:hAnsi="Comic Sans MS" w:cs="Times New Roman"/>
                <w:color w:val="000000"/>
                <w:sz w:val="24"/>
                <w:szCs w:val="24"/>
              </w:rPr>
            </w:pPr>
          </w:p>
        </w:tc>
      </w:tr>
      <w:tr w:rsidR="00DB51BE" w:rsidRPr="00DB51BE" w:rsidTr="00DB51BE">
        <w:trPr>
          <w:trHeight w:val="300"/>
        </w:trPr>
        <w:tc>
          <w:tcPr>
            <w:tcW w:w="7900" w:type="dxa"/>
            <w:tcBorders>
              <w:top w:val="nil"/>
              <w:left w:val="nil"/>
              <w:bottom w:val="nil"/>
              <w:right w:val="nil"/>
            </w:tcBorders>
            <w:shd w:val="clear" w:color="auto" w:fill="auto"/>
            <w:noWrap/>
            <w:vAlign w:val="bottom"/>
            <w:hideMark/>
          </w:tcPr>
          <w:p w:rsidR="00DB51BE" w:rsidRPr="002429B4" w:rsidRDefault="00DB51BE" w:rsidP="002429B4">
            <w:pPr>
              <w:pStyle w:val="ListParagraph"/>
              <w:numPr>
                <w:ilvl w:val="0"/>
                <w:numId w:val="1"/>
              </w:numPr>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"Population: Percent of population by race, Asian, 2010",,</w:t>
            </w:r>
          </w:p>
        </w:tc>
      </w:tr>
      <w:tr w:rsidR="00DB51BE" w:rsidRPr="00DB51BE" w:rsidTr="00DB51BE">
        <w:trPr>
          <w:trHeight w:val="300"/>
        </w:trPr>
        <w:tc>
          <w:tcPr>
            <w:tcW w:w="7900" w:type="dxa"/>
            <w:tcBorders>
              <w:top w:val="nil"/>
              <w:left w:val="nil"/>
              <w:bottom w:val="nil"/>
              <w:right w:val="nil"/>
            </w:tcBorders>
            <w:shd w:val="clear" w:color="auto" w:fill="auto"/>
            <w:noWrap/>
            <w:vAlign w:val="bottom"/>
            <w:hideMark/>
          </w:tcPr>
          <w:p w:rsidR="00DB51BE" w:rsidRPr="002429B4" w:rsidRDefault="00DB51BE" w:rsidP="002429B4">
            <w:pPr>
              <w:pStyle w:val="ListParagraph"/>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Data Source: U.S. Census, 2010,,</w:t>
            </w:r>
          </w:p>
        </w:tc>
      </w:tr>
      <w:tr w:rsidR="00DB51BE" w:rsidRPr="00DB51BE" w:rsidTr="00DB51BE">
        <w:trPr>
          <w:trHeight w:val="87"/>
        </w:trPr>
        <w:tc>
          <w:tcPr>
            <w:tcW w:w="7900" w:type="dxa"/>
            <w:tcBorders>
              <w:top w:val="nil"/>
              <w:left w:val="nil"/>
              <w:bottom w:val="nil"/>
              <w:right w:val="nil"/>
            </w:tcBorders>
            <w:shd w:val="clear" w:color="auto" w:fill="auto"/>
            <w:noWrap/>
            <w:vAlign w:val="bottom"/>
            <w:hideMark/>
          </w:tcPr>
          <w:p w:rsidR="00DB51BE" w:rsidRPr="00DB51BE" w:rsidRDefault="00DB51BE" w:rsidP="00DB51BE">
            <w:pPr>
              <w:spacing w:after="0" w:line="240" w:lineRule="auto"/>
              <w:rPr>
                <w:rFonts w:ascii="Comic Sans MS" w:eastAsia="Times New Roman" w:hAnsi="Comic Sans MS" w:cs="Times New Roman"/>
                <w:color w:val="000000"/>
                <w:sz w:val="24"/>
                <w:szCs w:val="24"/>
              </w:rPr>
            </w:pPr>
          </w:p>
        </w:tc>
      </w:tr>
      <w:tr w:rsidR="00DB51BE" w:rsidRPr="00DB51BE" w:rsidTr="002429B4">
        <w:trPr>
          <w:trHeight w:val="87"/>
        </w:trPr>
        <w:tc>
          <w:tcPr>
            <w:tcW w:w="7900" w:type="dxa"/>
            <w:tcBorders>
              <w:top w:val="nil"/>
              <w:left w:val="nil"/>
              <w:bottom w:val="nil"/>
              <w:right w:val="nil"/>
            </w:tcBorders>
            <w:shd w:val="clear" w:color="auto" w:fill="auto"/>
            <w:noWrap/>
            <w:vAlign w:val="bottom"/>
            <w:hideMark/>
          </w:tcPr>
          <w:p w:rsidR="00DB51BE" w:rsidRDefault="00DB51BE" w:rsidP="002429B4">
            <w:pPr>
              <w:pStyle w:val="ListParagraph"/>
              <w:numPr>
                <w:ilvl w:val="0"/>
                <w:numId w:val="1"/>
              </w:numPr>
              <w:spacing w:after="0" w:line="240" w:lineRule="auto"/>
              <w:rPr>
                <w:rFonts w:ascii="Comic Sans MS" w:eastAsia="Times New Roman" w:hAnsi="Comic Sans MS" w:cs="Times New Roman"/>
                <w:color w:val="000000"/>
                <w:sz w:val="24"/>
                <w:szCs w:val="24"/>
              </w:rPr>
            </w:pPr>
            <w:r w:rsidRPr="002429B4">
              <w:rPr>
                <w:rFonts w:ascii="Comic Sans MS" w:eastAsia="Times New Roman" w:hAnsi="Comic Sans MS" w:cs="Times New Roman"/>
                <w:color w:val="000000"/>
                <w:sz w:val="24"/>
                <w:szCs w:val="24"/>
              </w:rPr>
              <w:t>Population: Percent of population by race, American Indian/Alaska Native, 2010",,</w:t>
            </w:r>
            <w:r w:rsidR="002429B4" w:rsidRPr="002429B4">
              <w:rPr>
                <w:rFonts w:ascii="Comic Sans MS" w:eastAsia="Times New Roman" w:hAnsi="Comic Sans MS" w:cs="Times New Roman"/>
                <w:color w:val="000000"/>
                <w:sz w:val="24"/>
                <w:szCs w:val="24"/>
              </w:rPr>
              <w:t xml:space="preserve"> </w:t>
            </w:r>
            <w:r w:rsidR="002429B4" w:rsidRPr="00DB51BE">
              <w:rPr>
                <w:rFonts w:ascii="Comic Sans MS" w:eastAsia="Times New Roman" w:hAnsi="Comic Sans MS" w:cs="Times New Roman"/>
                <w:color w:val="000000"/>
                <w:sz w:val="24"/>
                <w:szCs w:val="24"/>
              </w:rPr>
              <w:t>Data Source: U.S. Census, 2010,,</w:t>
            </w:r>
          </w:p>
          <w:p w:rsidR="002429B4" w:rsidRPr="002429B4" w:rsidRDefault="002429B4" w:rsidP="002429B4">
            <w:pPr>
              <w:pStyle w:val="ListParagraph"/>
              <w:numPr>
                <w:ilvl w:val="0"/>
                <w:numId w:val="1"/>
              </w:numPr>
              <w:spacing w:after="0" w:line="240" w:lineRule="auto"/>
              <w:rPr>
                <w:rFonts w:ascii="Comic Sans MS" w:eastAsia="Times New Roman" w:hAnsi="Comic Sans MS" w:cs="Times New Roman"/>
                <w:color w:val="000000"/>
                <w:sz w:val="24"/>
                <w:szCs w:val="24"/>
              </w:rPr>
            </w:pPr>
            <w:hyperlink r:id="rId9" w:history="1">
              <w:r w:rsidRPr="008512DC">
                <w:rPr>
                  <w:rStyle w:val="Hyperlink"/>
                  <w:rFonts w:ascii="Comic Sans MS" w:eastAsia="Times New Roman" w:hAnsi="Comic Sans MS" w:cs="Times New Roman"/>
                  <w:sz w:val="24"/>
                  <w:szCs w:val="24"/>
                </w:rPr>
                <w:t>http://ephtp.phdmc.org/page/display_section/population_demographics</w:t>
              </w:r>
            </w:hyperlink>
            <w:r>
              <w:rPr>
                <w:rFonts w:ascii="Comic Sans MS" w:eastAsia="Times New Roman" w:hAnsi="Comic Sans MS" w:cs="Times New Roman"/>
                <w:color w:val="000000"/>
                <w:sz w:val="24"/>
                <w:szCs w:val="24"/>
              </w:rPr>
              <w:t xml:space="preserve"> </w:t>
            </w:r>
          </w:p>
        </w:tc>
      </w:tr>
      <w:tr w:rsidR="00DB51BE" w:rsidRPr="00DB51BE" w:rsidTr="00DB51BE">
        <w:trPr>
          <w:trHeight w:val="300"/>
        </w:trPr>
        <w:tc>
          <w:tcPr>
            <w:tcW w:w="7900" w:type="dxa"/>
            <w:tcBorders>
              <w:top w:val="nil"/>
              <w:left w:val="nil"/>
              <w:bottom w:val="nil"/>
              <w:right w:val="nil"/>
            </w:tcBorders>
            <w:shd w:val="clear" w:color="auto" w:fill="auto"/>
            <w:noWrap/>
            <w:vAlign w:val="bottom"/>
            <w:hideMark/>
          </w:tcPr>
          <w:p w:rsidR="00DB51BE" w:rsidRPr="00DB51BE" w:rsidRDefault="00DB51BE" w:rsidP="00DB51BE">
            <w:pPr>
              <w:spacing w:after="0" w:line="240" w:lineRule="auto"/>
              <w:rPr>
                <w:rFonts w:ascii="Comic Sans MS" w:eastAsia="Times New Roman" w:hAnsi="Comic Sans MS" w:cs="Times New Roman"/>
                <w:color w:val="000000"/>
                <w:sz w:val="24"/>
                <w:szCs w:val="24"/>
              </w:rPr>
            </w:pPr>
          </w:p>
        </w:tc>
      </w:tr>
    </w:tbl>
    <w:p w:rsidR="00B833C2" w:rsidRPr="007E41D7" w:rsidRDefault="001E1394" w:rsidP="007E41D7">
      <w:pPr>
        <w:pStyle w:val="Title"/>
        <w:ind w:firstLine="720"/>
        <w:rPr>
          <w:rFonts w:ascii="Comic Sans MS" w:hAnsi="Comic Sans MS"/>
          <w:sz w:val="24"/>
          <w:szCs w:val="24"/>
        </w:rPr>
      </w:pPr>
      <w:r>
        <w:rPr>
          <w:rFonts w:ascii="Comic Sans MS" w:hAnsi="Comic Sans MS"/>
          <w:sz w:val="24"/>
          <w:szCs w:val="24"/>
        </w:rPr>
        <w:t xml:space="preserve">According to the graph </w:t>
      </w:r>
      <w:r w:rsidR="00341CCD">
        <w:rPr>
          <w:rFonts w:ascii="Comic Sans MS" w:hAnsi="Comic Sans MS"/>
          <w:sz w:val="24"/>
          <w:szCs w:val="24"/>
        </w:rPr>
        <w:t xml:space="preserve">Montgomery </w:t>
      </w:r>
      <w:r w:rsidR="007E41D7">
        <w:rPr>
          <w:rFonts w:ascii="Comic Sans MS" w:hAnsi="Comic Sans MS"/>
          <w:sz w:val="24"/>
          <w:szCs w:val="24"/>
        </w:rPr>
        <w:t>County is not a diverse community. The graph shows each population and how many there are at each zip code. As seen in the graph white race is the largest out of all the others it has a range from about 62 – 98, with a few low outliers. The black race is second largest with a range from about 0 – 35, with a few high outliers.</w:t>
      </w:r>
      <w:r w:rsidR="00ED7DE3">
        <w:rPr>
          <w:rFonts w:ascii="Comic Sans MS" w:hAnsi="Comic Sans MS"/>
          <w:sz w:val="24"/>
          <w:szCs w:val="24"/>
        </w:rPr>
        <w:t xml:space="preserve"> So as you see tell Montgomery County isn’t a diverse area, its mainly white and black ethnicities, with almost double in white ethnicities. </w:t>
      </w:r>
      <w:bookmarkStart w:id="0" w:name="_GoBack"/>
      <w:bookmarkEnd w:id="0"/>
    </w:p>
    <w:sectPr w:rsidR="00B833C2" w:rsidRPr="007E4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SimSun"/>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0000000000000000000"/>
    <w:charset w:val="86"/>
    <w:family w:val="roman"/>
    <w:notTrueType/>
    <w:pitch w:val="default"/>
  </w:font>
  <w:font w:name="Comic Sans MS">
    <w:panose1 w:val="030F0702030302020204"/>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847D3"/>
    <w:multiLevelType w:val="hybridMultilevel"/>
    <w:tmpl w:val="AFD8A824"/>
    <w:lvl w:ilvl="0" w:tplc="4FCEFDA8">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58A"/>
    <w:rsid w:val="00053B11"/>
    <w:rsid w:val="001E1394"/>
    <w:rsid w:val="002429B4"/>
    <w:rsid w:val="002D6B05"/>
    <w:rsid w:val="00341CCD"/>
    <w:rsid w:val="00491CA2"/>
    <w:rsid w:val="00773655"/>
    <w:rsid w:val="007E41D7"/>
    <w:rsid w:val="007E546D"/>
    <w:rsid w:val="00B833C2"/>
    <w:rsid w:val="00C72D0F"/>
    <w:rsid w:val="00DB51BE"/>
    <w:rsid w:val="00EB0C18"/>
    <w:rsid w:val="00EB3094"/>
    <w:rsid w:val="00ED7DE3"/>
    <w:rsid w:val="00F97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5026"/>
  <w15:chartTrackingRefBased/>
  <w15:docId w15:val="{73DB582D-5580-4D06-8190-4E4DAD62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75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58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91CA2"/>
    <w:pPr>
      <w:ind w:left="720"/>
      <w:contextualSpacing/>
    </w:pPr>
  </w:style>
  <w:style w:type="character" w:styleId="Hyperlink">
    <w:name w:val="Hyperlink"/>
    <w:basedOn w:val="DefaultParagraphFont"/>
    <w:uiPriority w:val="99"/>
    <w:unhideWhenUsed/>
    <w:rsid w:val="002429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376481">
      <w:bodyDiv w:val="1"/>
      <w:marLeft w:val="0"/>
      <w:marRight w:val="0"/>
      <w:marTop w:val="0"/>
      <w:marBottom w:val="0"/>
      <w:divBdr>
        <w:top w:val="none" w:sz="0" w:space="0" w:color="auto"/>
        <w:left w:val="none" w:sz="0" w:space="0" w:color="auto"/>
        <w:bottom w:val="none" w:sz="0" w:space="0" w:color="auto"/>
        <w:right w:val="none" w:sz="0" w:space="0" w:color="auto"/>
      </w:divBdr>
    </w:div>
    <w:div w:id="1423452158">
      <w:bodyDiv w:val="1"/>
      <w:marLeft w:val="0"/>
      <w:marRight w:val="0"/>
      <w:marTop w:val="0"/>
      <w:marBottom w:val="0"/>
      <w:divBdr>
        <w:top w:val="none" w:sz="0" w:space="0" w:color="auto"/>
        <w:left w:val="none" w:sz="0" w:space="0" w:color="auto"/>
        <w:bottom w:val="none" w:sz="0" w:space="0" w:color="auto"/>
        <w:right w:val="none" w:sz="0" w:space="0" w:color="auto"/>
      </w:divBdr>
    </w:div>
    <w:div w:id="201807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microsoft.com/office/2014/relationships/chartEx" Target="charts/chartEx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phtp.phdmc.org/page/display_section/population_demographics"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Student\Downloads\Math\populaton%20by%20race.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Sheet1!$D$10:$D$49</cx:f>
        <cx:lvl ptCount="40" formatCode="General">
          <cx:pt idx="0">96.799999999999997</cx:pt>
          <cx:pt idx="1">92.799999999999997</cx:pt>
          <cx:pt idx="2">97.299999999999997</cx:pt>
          <cx:pt idx="3">77.400000000000006</cx:pt>
          <cx:pt idx="4">86.400000000000006</cx:pt>
          <cx:pt idx="5">97.799999999999997</cx:pt>
          <cx:pt idx="6">97.700000000000003</cx:pt>
          <cx:pt idx="7">87.900000000000006</cx:pt>
          <cx:pt idx="8">93.700000000000003</cx:pt>
          <cx:pt idx="9">96.099999999999994</cx:pt>
          <cx:pt idx="10">97.5</cx:pt>
          <cx:pt idx="11">96.5</cx:pt>
          <cx:pt idx="12">93.200000000000003</cx:pt>
          <cx:pt idx="13">97.700000000000003</cx:pt>
          <cx:pt idx="14">23.399999999999999</cx:pt>
          <cx:pt idx="15">81.5</cx:pt>
          <cx:pt idx="16">82.299999999999997</cx:pt>
          <cx:pt idx="17">29.399999999999999</cx:pt>
          <cx:pt idx="18">12.300000000000001</cx:pt>
          <cx:pt idx="19">91.299999999999997</cx:pt>
          <cx:pt idx="20">84.099999999999994</cx:pt>
          <cx:pt idx="21">81.599999999999994</cx:pt>
          <cx:pt idx="22">65.200000000000003</cx:pt>
          <cx:pt idx="23">26.600000000000001</cx:pt>
          <cx:pt idx="24">16.699999999999999</cx:pt>
          <cx:pt idx="25">78.200000000000003</cx:pt>
          <cx:pt idx="26">93.5</cx:pt>
          <cx:pt idx="27">92.400000000000006</cx:pt>
          <cx:pt idx="28">79.099999999999994</cx:pt>
          <cx:pt idx="29">21.600000000000001</cx:pt>
          <cx:pt idx="30">62.5</cx:pt>
          <cx:pt idx="31">93.900000000000006</cx:pt>
          <cx:pt idx="32">84.5</cx:pt>
          <cx:pt idx="33">92.799999999999997</cx:pt>
          <cx:pt idx="34">80.200000000000003</cx:pt>
          <cx:pt idx="35">85.599999999999994</cx:pt>
          <cx:pt idx="36">90.700000000000003</cx:pt>
          <cx:pt idx="37">84.799999999999997</cx:pt>
          <cx:pt idx="38">86</cx:pt>
          <cx:pt idx="39">91.400000000000006</cx:pt>
        </cx:lvl>
      </cx:numDim>
    </cx:data>
    <cx:data id="1">
      <cx:numDim type="val">
        <cx:f>Sheet1!$E$10:$E$49</cx:f>
        <cx:lvl ptCount="40" formatCode="General">
          <cx:pt idx="0">1.2</cx:pt>
          <cx:pt idx="1">1.7</cx:pt>
          <cx:pt idx="2">0.80000000000000004</cx:pt>
          <cx:pt idx="3">0.80000000000000004</cx:pt>
          <cx:pt idx="4">1.2</cx:pt>
          <cx:pt idx="5">0.80000000000000004</cx:pt>
          <cx:pt idx="6">1</cx:pt>
          <cx:pt idx="7">2</cx:pt>
          <cx:pt idx="8">6</cx:pt>
          <cx:pt idx="9">0.5</cx:pt>
          <cx:pt idx="10">3.2999999999999998</cx:pt>
          <cx:pt idx="11">1.3</cx:pt>
          <cx:pt idx="12">1.5</cx:pt>
          <cx:pt idx="13">0.59999999999999998</cx:pt>
          <cx:pt idx="14">1.7</cx:pt>
          <cx:pt idx="15">7.5999999999999996</cx:pt>
          <cx:pt idx="16">2.7000000000000002</cx:pt>
          <cx:pt idx="17">2.3999999999999999</cx:pt>
          <cx:pt idx="18">1.3</cx:pt>
          <cx:pt idx="19">2.5</cx:pt>
          <cx:pt idx="20">5.2000000000000002</cx:pt>
          <cx:pt idx="21">1.6000000000000001</cx:pt>
          <cx:pt idx="22">1.6000000000000001</cx:pt>
          <cx:pt idx="23">1.1000000000000001</cx:pt>
          <cx:pt idx="24">1.3999999999999999</cx:pt>
          <cx:pt idx="25">1.3999999999999999</cx:pt>
          <cx:pt idx="26">2</cx:pt>
          <cx:pt idx="27">2.1000000000000001</cx:pt>
          <cx:pt idx="28">3.1000000000000001</cx:pt>
          <cx:pt idx="29">0.90000000000000002</cx:pt>
          <cx:pt idx="30">2.1000000000000001</cx:pt>
          <cx:pt idx="31">1.8</cx:pt>
          <cx:pt idx="32">4.0999999999999996</cx:pt>
          <cx:pt idx="33">2.1000000000000001</cx:pt>
          <cx:pt idx="34">7.7000000000000002</cx:pt>
          <cx:pt idx="35">3.7999999999999998</cx:pt>
          <cx:pt idx="36">2.1000000000000001</cx:pt>
          <cx:pt idx="37">2.8999999999999999</cx:pt>
          <cx:pt idx="38">2.2999999999999998</cx:pt>
          <cx:pt idx="39">1.8999999999999999</cx:pt>
        </cx:lvl>
      </cx:numDim>
    </cx:data>
    <cx:data id="2">
      <cx:numDim type="val">
        <cx:f>Sheet1!$F$10:$F$49</cx:f>
        <cx:lvl ptCount="40" formatCode="General">
          <cx:pt idx="0">0.90000000000000002</cx:pt>
          <cx:pt idx="1">2</cx:pt>
          <cx:pt idx="2">0.59999999999999998</cx:pt>
          <cx:pt idx="3">17.800000000000001</cx:pt>
          <cx:pt idx="4">9.6999999999999993</cx:pt>
          <cx:pt idx="5">0.5</cx:pt>
          <cx:pt idx="6">0.90000000000000002</cx:pt>
          <cx:pt idx="7">5.2999999999999998</cx:pt>
          <cx:pt idx="8">0.5</cx:pt>
          <cx:pt idx="9">1.6000000000000001</cx:pt>
          <cx:pt idx="10">1.2</cx:pt>
          <cx:pt idx="11">0.59999999999999998</cx:pt>
          <cx:pt idx="12">2.7999999999999998</cx:pt>
          <cx:pt idx="13">0.5</cx:pt>
          <cx:pt idx="14">72.799999999999997</cx:pt>
          <cx:pt idx="15">10</cx:pt>
          <cx:pt idx="16">12.1</cx:pt>
          <cx:pt idx="17">65.400000000000006</cx:pt>
          <cx:pt idx="18">84</cx:pt>
          <cx:pt idx="19">4</cx:pt>
          <cx:pt idx="20">7.9000000000000004</cx:pt>
          <cx:pt idx="21">14.4</cx:pt>
          <cx:pt idx="22">30.100000000000001</cx:pt>
          <cx:pt idx="23">69.799999999999997</cx:pt>
          <cx:pt idx="24">79.900000000000006</cx:pt>
          <cx:pt idx="25">16.699999999999999</cx:pt>
          <cx:pt idx="26">2</cx:pt>
          <cx:pt idx="27">3.5</cx:pt>
          <cx:pt idx="28">13.1</cx:pt>
          <cx:pt idx="29">74.799999999999997</cx:pt>
          <cx:pt idx="30">33.799999999999997</cx:pt>
          <cx:pt idx="31">2.1000000000000001</cx:pt>
          <cx:pt idx="32">5.4000000000000004</cx:pt>
          <cx:pt idx="33">2.7999999999999998</cx:pt>
          <cx:pt idx="34">10.300000000000001</cx:pt>
          <cx:pt idx="35">7.7999999999999998</cx:pt>
          <cx:pt idx="36">4.2000000000000002</cx:pt>
          <cx:pt idx="37">10.5</cx:pt>
          <cx:pt idx="38">4.7999999999999998</cx:pt>
          <cx:pt idx="39">3.2000000000000002</cx:pt>
        </cx:lvl>
      </cx:numDim>
    </cx:data>
    <cx:data id="3">
      <cx:numDim type="val">
        <cx:f>Sheet1!$G$10:$G$49</cx:f>
        <cx:lvl ptCount="40" formatCode="General">
          <cx:pt idx="0">0.5</cx:pt>
          <cx:pt idx="1">3.1000000000000001</cx:pt>
          <cx:pt idx="2">0.59999999999999998</cx:pt>
          <cx:pt idx="3">1.8</cx:pt>
          <cx:pt idx="4">1.1000000000000001</cx:pt>
          <cx:pt idx="5">0.20000000000000001</cx:pt>
          <cx:pt idx="6">0.40000000000000002</cx:pt>
          <cx:pt idx="7">4.0999999999999996</cx:pt>
          <cx:pt idx="8">0.40000000000000002</cx:pt>
          <cx:pt idx="9">0.29999999999999999</cx:pt>
          <cx:pt idx="10">0.29999999999999999</cx:pt>
          <cx:pt idx="11">1</cx:pt>
          <cx:pt idx="12">1.5</cx:pt>
          <cx:pt idx="13">0.29999999999999999</cx:pt>
          <cx:pt idx="14">0.5</cx:pt>
          <cx:pt idx="15">0.69999999999999996</cx:pt>
          <cx:pt idx="16">0.80000000000000004</cx:pt>
          <cx:pt idx="17">0.59999999999999998</cx:pt>
          <cx:pt idx="18">0.20000000000000001</cx:pt>
          <cx:pt idx="19">1.6000000000000001</cx:pt>
          <cx:pt idx="20">1</cx:pt>
          <cx:pt idx="21">0.90000000000000002</cx:pt>
          <cx:pt idx="22">1.2</cx:pt>
          <cx:pt idx="23">0.20000000000000001</cx:pt>
          <cx:pt idx="24">0.10000000000000001</cx:pt>
          <cx:pt idx="25">1</cx:pt>
          <cx:pt idx="26">2</cx:pt>
          <cx:pt idx="27">1.1000000000000001</cx:pt>
          <cx:pt idx="28">2.8999999999999999</cx:pt>
          <cx:pt idx="29">0.40000000000000002</cx:pt>
          <cx:pt idx="30">0.40000000000000002</cx:pt>
          <cx:pt idx="31">1.6000000000000001</cx:pt>
          <cx:pt idx="32">5.7000000000000002</cx:pt>
          <cx:pt idx="33">1.6000000000000001</cx:pt>
          <cx:pt idx="34">3</cx:pt>
          <cx:pt idx="35">1.7</cx:pt>
          <cx:pt idx="36">2.3999999999999999</cx:pt>
          <cx:pt idx="37">1.3999999999999999</cx:pt>
          <cx:pt idx="38">6.0999999999999996</cx:pt>
          <cx:pt idx="39">2.8999999999999999</cx:pt>
        </cx:lvl>
      </cx:numDim>
    </cx:data>
    <cx:data id="4">
      <cx:numDim type="val">
        <cx:f>Sheet1!$H$10:$H$49</cx:f>
        <cx:lvl ptCount="40" formatCode="General">
          <cx:pt idx="0">0.20000000000000001</cx:pt>
          <cx:pt idx="1">0.10000000000000001</cx:pt>
          <cx:pt idx="2">0.20000000000000001</cx:pt>
          <cx:pt idx="3">0.10000000000000001</cx:pt>
          <cx:pt idx="4">0.20000000000000001</cx:pt>
          <cx:pt idx="5">0.20000000000000001</cx:pt>
          <cx:pt idx="6">0.20000000000000001</cx:pt>
          <cx:pt idx="7">0.20000000000000001</cx:pt>
          <cx:pt idx="8">0.20000000000000001</cx:pt>
          <cx:pt idx="9">0.20000000000000001</cx:pt>
          <cx:pt idx="10">0</cx:pt>
          <cx:pt idx="11">0.20000000000000001</cx:pt>
          <cx:pt idx="12">0.20000000000000001</cx:pt>
          <cx:pt idx="13">0.10000000000000001</cx:pt>
          <cx:pt idx="14">0.29999999999999999</cx:pt>
          <cx:pt idx="15">0.29999999999999999</cx:pt>
          <cx:pt idx="16">0.29999999999999999</cx:pt>
          <cx:pt idx="17">0.29999999999999999</cx:pt>
          <cx:pt idx="18">0.20000000000000001</cx:pt>
          <cx:pt idx="19">0.20000000000000001</cx:pt>
          <cx:pt idx="20">0.40000000000000002</cx:pt>
          <cx:pt idx="21">0.20000000000000001</cx:pt>
          <cx:pt idx="22">0.20000000000000001</cx:pt>
          <cx:pt idx="23">0.10000000000000001</cx:pt>
          <cx:pt idx="24">0.29999999999999999</cx:pt>
          <cx:pt idx="25">0</cx:pt>
          <cx:pt idx="26">0.20000000000000001</cx:pt>
          <cx:pt idx="27">0.20000000000000001</cx:pt>
          <cx:pt idx="28">0.29999999999999999</cx:pt>
          <cx:pt idx="29">0.20000000000000001</cx:pt>
          <cx:pt idx="30">1.3</cx:pt>
          <cx:pt idx="31">0.20000000000000001</cx:pt>
          <cx:pt idx="32">0.29999999999999999</cx:pt>
          <cx:pt idx="33">0.20000000000000001</cx:pt>
          <cx:pt idx="34">0.10000000000000001</cx:pt>
          <cx:pt idx="35">0.29999999999999999</cx:pt>
          <cx:pt idx="36">0.20000000000000001</cx:pt>
          <cx:pt idx="37">0.20000000000000001</cx:pt>
          <cx:pt idx="38">0.20000000000000001</cx:pt>
          <cx:pt idx="39">0.20000000000000001</cx:pt>
        </cx:lvl>
      </cx:numDim>
    </cx:data>
  </cx:chartData>
  <cx:chart>
    <cx:title pos="t" align="ctr" overlay="0">
      <cx:tx>
        <cx:rich>
          <a:bodyPr rot="0" spcFirstLastPara="1" vertOverflow="ellipsis" vert="horz" wrap="square" lIns="0" tIns="0" rIns="0" bIns="0" anchor="ctr" anchorCtr="1"/>
          <a:lstStyle/>
          <a:p>
            <a:pPr algn="ctr">
              <a:defRPr/>
            </a:pPr>
            <a:r>
              <a:rPr lang="en-US"/>
              <a:t>Population of Montgomery Ohio by Zipcode and Race</a:t>
            </a:r>
          </a:p>
        </cx:rich>
      </cx:tx>
    </cx:title>
    <cx:plotArea>
      <cx:plotAreaRegion>
        <cx:series layoutId="boxWhisker" uniqueId="{8783299D-1052-4845-8023-3A0CC821C4C5}">
          <cx:tx>
            <cx:txData>
              <cx:f>Sheet1!$D$9</cx:f>
              <cx:v>white</cx:v>
            </cx:txData>
          </cx:tx>
          <cx:dataId val="0"/>
          <cx:layoutPr>
            <cx:visibility meanLine="1" meanMarker="1"/>
            <cx:statistics quartileMethod="exclusive"/>
          </cx:layoutPr>
        </cx:series>
        <cx:series layoutId="boxWhisker" uniqueId="{CC628BF9-BA08-4649-AE48-57FD59456F05}">
          <cx:tx>
            <cx:txData>
              <cx:f>Sheet1!$E$9</cx:f>
              <cx:v>Hispanic</cx:v>
            </cx:txData>
          </cx:tx>
          <cx:dataId val="1"/>
          <cx:layoutPr>
            <cx:visibility meanLine="1" meanMarker="1"/>
            <cx:statistics quartileMethod="exclusive"/>
          </cx:layoutPr>
        </cx:series>
        <cx:series layoutId="boxWhisker" uniqueId="{D3B6F963-A8A7-4A9B-AAF3-F154674B1B6F}">
          <cx:tx>
            <cx:txData>
              <cx:f>Sheet1!$F$9</cx:f>
              <cx:v>Black</cx:v>
            </cx:txData>
          </cx:tx>
          <cx:dataId val="2"/>
          <cx:layoutPr>
            <cx:visibility meanLine="1" meanMarker="1"/>
            <cx:statistics quartileMethod="exclusive"/>
          </cx:layoutPr>
        </cx:series>
        <cx:series layoutId="boxWhisker" uniqueId="{4F7CCFB6-100F-40C2-B7B5-EAA8665686A9}">
          <cx:tx>
            <cx:txData>
              <cx:f>Sheet1!$G$9</cx:f>
              <cx:v>Asian</cx:v>
            </cx:txData>
          </cx:tx>
          <cx:dataId val="3"/>
          <cx:layoutPr>
            <cx:visibility meanLine="1" meanMarker="1"/>
            <cx:statistics quartileMethod="exclusive"/>
          </cx:layoutPr>
        </cx:series>
        <cx:series layoutId="boxWhisker" uniqueId="{6624AEF0-A57B-4D43-A12B-DAC7D64BBDA5}">
          <cx:tx>
            <cx:txData>
              <cx:f>Sheet1!$H$9</cx:f>
              <cx:v>American Indian/Alaska Native</cx:v>
            </cx:txData>
          </cx:tx>
          <cx:dataId val="4"/>
          <cx:layoutPr>
            <cx:visibility meanLine="1" meanMarker="1"/>
            <cx:statistics quartileMethod="exclusive"/>
          </cx:layoutPr>
        </cx:series>
      </cx:plotAreaRegion>
      <cx:axis id="0">
        <cx:catScaling gapWidth="1.5"/>
        <cx:tickLabels/>
      </cx:axis>
      <cx:axis id="1">
        <cx:valScaling/>
        <cx:majorGridlines/>
        <cx:tickLabels/>
      </cx:axis>
    </cx:plotArea>
    <cx:legend pos="b" align="ctr" overlay="0"/>
  </cx:chart>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9">
  <cs:axisTitle>
    <cs:lnRef idx="0"/>
    <cs:fillRef idx="0"/>
    <cs:effectRef idx="0"/>
    <cs:fontRef idx="minor">
      <a:schemeClr val="lt1">
        <a:lumMod val="85000"/>
      </a:schemeClr>
    </cs:fontRef>
    <cs:defRPr sz="900"/>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cs:bodyPr rot="-60000000" vert="horz"/>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cs:dataLabel>
  <cs:dataLabelCallout>
    <cs:lnRef idx="0"/>
    <cs:fillRef idx="0"/>
    <cs:effectRef idx="0"/>
    <cs:fontRef idx="minor">
      <a:schemeClr val="lt1">
        <a:lumMod val="85000"/>
      </a:schemeClr>
    </cs:fontRef>
    <cs:spPr>
      <a:solidFill>
        <a:schemeClr val="lt1"/>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fillRef idx="0"/>
    <cs:effectRef idx="0"/>
    <cs:fontRef idx="minor">
      <a:schemeClr val="tx1"/>
    </cs:fontRef>
    <cs:spPr>
      <a:effectLst>
        <a:outerShdw blurRad="40000" dist="23000" dir="5400000" rotWithShape="0">
          <a:srgbClr val="000000">
            <a:alpha val="35000"/>
          </a:srgbClr>
        </a:outerShdw>
      </a:effectLst>
    </cs:spPr>
  </cs:dataPointLine>
  <cs:dataPointMarker>
    <cs:lnRef idx="0">
      <cs:styleClr val="auto"/>
    </cs:lnRef>
    <cs:fillRef idx="0">
      <cs:styleClr val="auto"/>
    </cs:fillRef>
    <cs:effectRef idx="0"/>
    <cs:fontRef idx="minor">
      <a:schemeClr val="tx1"/>
    </cs:fontRef>
    <cs:spPr>
      <a:gradFill rotWithShape="1">
        <a:gsLst>
          <a:gs pos="0">
            <a:schemeClr val="phClr">
              <a:lumMod val="60000"/>
              <a:shade val="51000"/>
              <a:satMod val="130000"/>
            </a:schemeClr>
          </a:gs>
          <a:gs pos="80000">
            <a:schemeClr val="phClr">
              <a:lumMod val="60000"/>
              <a:shade val="93000"/>
              <a:satMod val="130000"/>
            </a:schemeClr>
          </a:gs>
          <a:gs pos="100000">
            <a:schemeClr val="phClr">
              <a:lumMod val="60000"/>
              <a:shade val="94000"/>
              <a:satMod val="135000"/>
            </a:schemeClr>
          </a:gs>
        </a:gsLst>
        <a:lin ang="16200000" scaled="0"/>
      </a:gradFill>
      <a:ln w="9525">
        <a:solidFill>
          <a:schemeClr val="phClr">
            <a:lumMod val="60000"/>
          </a:schemeClr>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spPr>
  </cs:dataPointMarker>
  <cs:dataPointMarkerLayout symbol="circle" size="6"/>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10000"/>
            <a:lumOff val="10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leaderLine>
  <cs:legend>
    <cs:lnRef idx="0"/>
    <cs:fillRef idx="0"/>
    <cs:effectRef idx="0"/>
    <cs:fontRef idx="minor">
      <a:schemeClr val="lt1">
        <a:lumMod val="8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cs:bodyPr rot="-60000000" vert="horz"/>
  </cs:seriesAxis>
  <cs:seriesLine>
    <cs:lnRef idx="0"/>
    <cs:fillRef idx="0"/>
    <cs:effectRef idx="0"/>
    <cs:fontRef idx="minor">
      <a:schemeClr val="lt1"/>
    </cs:fontRef>
    <cs:spPr>
      <a:ln w="9525" cap="flat">
        <a:solidFill>
          <a:srgbClr val="D9D9D9"/>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bodyPr rot="0" vert="horz"/>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85000"/>
      </a:schemeClr>
    </cs:fontRef>
    <cs:defRPr sz="9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bodyPr rot="-60000000" vert="horz"/>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Grant Robert</dc:creator>
  <cp:keywords/>
  <dc:description/>
  <cp:lastModifiedBy>Harvey, Grant Robert</cp:lastModifiedBy>
  <cp:revision>5</cp:revision>
  <dcterms:created xsi:type="dcterms:W3CDTF">2018-02-27T19:17:00Z</dcterms:created>
  <dcterms:modified xsi:type="dcterms:W3CDTF">2018-02-28T15:44:00Z</dcterms:modified>
</cp:coreProperties>
</file>