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right"/>
        <w:rPr/>
      </w:pPr>
      <w:r w:rsidDel="00000000" w:rsidR="00000000" w:rsidRPr="00000000">
        <w:rPr/>
        <w:drawing>
          <wp:inline distB="0" distT="0" distL="0" distR="0">
            <wp:extent cx="5943600" cy="1435100"/>
            <wp:effectExtent b="0" l="0" r="0" t="0"/>
            <wp:docPr descr="Graphical user interface, application&#10;&#10;Description automatically generated" id="13" name="image2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Datum: {{ datum }}</w:t>
      </w:r>
    </w:p>
    <w:p w:rsidR="00000000" w:rsidDel="00000000" w:rsidP="00000000" w:rsidRDefault="00000000" w:rsidRPr="00000000" w14:paraId="000000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Ustanova: {{ ustanova }}</w:t>
      </w:r>
    </w:p>
    <w:p w:rsidR="00000000" w:rsidDel="00000000" w:rsidP="00000000" w:rsidRDefault="00000000" w:rsidRPr="00000000" w14:paraId="00000005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Lekari: {{ lekari }}</w:t>
      </w:r>
    </w:p>
    <w:p w:rsidR="00000000" w:rsidDel="00000000" w:rsidP="00000000" w:rsidRDefault="00000000" w:rsidRPr="00000000" w14:paraId="00000006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Tražena analiza: {{ analiza_naziv }}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IZVEŠTAJ br. I-01-{{ analiza_sifra }}-{{ pacijent_broj }}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UZORKU</w:t>
      </w:r>
    </w:p>
    <w:p w:rsidR="00000000" w:rsidDel="00000000" w:rsidP="00000000" w:rsidRDefault="00000000" w:rsidRPr="00000000" w14:paraId="000000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Broj uzorka: {{ analiza_kod }}_{{ pacijent_broj }}</w:t>
      </w:r>
    </w:p>
    <w:p w:rsidR="00000000" w:rsidDel="00000000" w:rsidP="00000000" w:rsidRDefault="00000000" w:rsidRPr="00000000" w14:paraId="000000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Eksterni broj uzorka (ukoliko postoji): {{ pacijent_eksterni }}</w:t>
      </w:r>
    </w:p>
    <w:p w:rsidR="00000000" w:rsidDel="00000000" w:rsidP="00000000" w:rsidRDefault="00000000" w:rsidRPr="00000000" w14:paraId="0000000F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prijema: {{ pacijent_prijem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 uzorka: {{ pacijent_uzorak }}</w:t>
      </w:r>
    </w:p>
    <w:p w:rsidR="00000000" w:rsidDel="00000000" w:rsidP="00000000" w:rsidRDefault="00000000" w:rsidRPr="00000000" w14:paraId="000000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PACIJENTU</w:t>
      </w:r>
    </w:p>
    <w:p w:rsidR="00000000" w:rsidDel="00000000" w:rsidP="00000000" w:rsidRDefault="00000000" w:rsidRPr="00000000" w14:paraId="000000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Ime i prezime: {{ pacijent_ime }}</w:t>
      </w:r>
    </w:p>
    <w:p w:rsidR="00000000" w:rsidDel="00000000" w:rsidP="00000000" w:rsidRDefault="00000000" w:rsidRPr="00000000" w14:paraId="00000014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rođenja: {{ pacijent_datum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Pol: {{ pacijent_pol }}</w:t>
      </w:r>
    </w:p>
    <w:p w:rsidR="00000000" w:rsidDel="00000000" w:rsidP="00000000" w:rsidRDefault="00000000" w:rsidRPr="00000000" w14:paraId="00000016">
      <w:pPr>
        <w:spacing w:line="276" w:lineRule="auto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CILJ ANALIZE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Primljen je uzorak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"pacijentkinje" if pacijent_pol == "ženski" else "pacijenta" }}</w:t>
      </w:r>
      <w:r w:rsidDel="00000000" w:rsidR="00000000" w:rsidRPr="00000000">
        <w:rPr>
          <w:sz w:val="24"/>
          <w:szCs w:val="24"/>
          <w:rtl w:val="0"/>
        </w:rPr>
        <w:t xml:space="preserve"> sa sumnjom na dijagnozu: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{{ pacijent_dijagnoza }}. </w:t>
      </w:r>
      <w:r w:rsidDel="00000000" w:rsidR="00000000" w:rsidRPr="00000000">
        <w:rPr>
          <w:sz w:val="24"/>
          <w:szCs w:val="24"/>
          <w:rtl w:val="0"/>
        </w:rPr>
        <w:t xml:space="preserve">Traženo je da se uradi {{ analiza_naziv }} pacijenta u pokušaju identifikacije genetičkih varijanti odgovornih za navedeni fenotip.</w:t>
      </w:r>
    </w:p>
    <w:p w:rsidR="00000000" w:rsidDel="00000000" w:rsidP="00000000" w:rsidRDefault="00000000" w:rsidRPr="00000000" w14:paraId="00000019">
      <w:pPr>
        <w:spacing w:after="20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REZULTAT ANALIZE</w:t>
      </w:r>
    </w:p>
    <w:p w:rsidR="00000000" w:rsidDel="00000000" w:rsidP="00000000" w:rsidRDefault="00000000" w:rsidRPr="00000000" w14:paraId="0000001A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Sekvence kodirajućih egzona i egzon-intron granica {{ analiza_geni }} gena su dobijene korišćenjem {{ analiza_panel }} panela i upoređene sa sekvencom referentnog humanog genoma (hg38). Analizirani su paneli gena koji se povezuju sa sledećim karakteristikama fenotipa (prema HPO): {{ HPO }}, a zatim i svi geni u kojima su detektovane patogene, verovatno patogene varijante ili varijante neodređenog značaja. {{ CES_ograda }}.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Analizirane su patogene i verovatno patogene CNVs (eng. </w:t>
      </w: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Copy Number Variations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).</w:t>
      </w:r>
      <w:r w:rsidDel="00000000" w:rsidR="00000000" w:rsidRPr="00000000">
        <w:rPr>
          <w:sz w:val="24"/>
          <w:szCs w:val="24"/>
          <w:rtl w:val="0"/>
        </w:rPr>
        <w:t xml:space="preserve"> Prilikom analize su odbačene genetičke varijante koje su u kontrolnim bazama podataka (gnomAD Genomes, gnomAD Exomes i 1000 Genomes) prisutne sa učestalošću većom od 1%, a preostale retke varijante su dalje analizirane uzimajući u obzir njihov efekat na protein, kao i odgovarajući model nasleđivanja za svaki gen.</w:t>
      </w:r>
    </w:p>
    <w:p w:rsidR="00000000" w:rsidDel="00000000" w:rsidP="00000000" w:rsidRDefault="00000000" w:rsidRPr="00000000" w14:paraId="0000001B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Klasifikacije varijanti, prema ACMG preporukama za klasifikaciju, korišćene su za interpretaciju dobijenih rezultata: Patogena – klasa 1; Verovatno patogena – klasa 2; Varijanta neodređenog značaja - klasa 3; Verovatno benigna - klasa 4; Benigna – klasa 5. </w:t>
      </w:r>
    </w:p>
    <w:tbl>
      <w:tblPr>
        <w:tblStyle w:val="Table1"/>
        <w:tblW w:w="10080.0" w:type="dxa"/>
        <w:jc w:val="left"/>
        <w:tblInd w:w="-36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rHeight w:val="1264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REZULTAT: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{{ rezultat_rezultat }}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{% if segregaciona %}- neophodna segregaciona analiza {% endif %}</w:t>
            </w:r>
          </w:p>
          <w:p w:rsidR="00000000" w:rsidDel="00000000" w:rsidP="00000000" w:rsidRDefault="00000000" w:rsidRPr="00000000" w14:paraId="0000001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“NEGATIVAN” %}</w:t>
            </w:r>
          </w:p>
          <w:p w:rsidR="00000000" w:rsidDel="00000000" w:rsidP="00000000" w:rsidRDefault="00000000" w:rsidRPr="00000000" w14:paraId="0000001E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nisu detektovane patogene, verovatno patogene i varijante neodređenog značaja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koje bi objasnile uočeni fenotip.</w:t>
            </w:r>
          </w:p>
          <w:p w:rsidR="00000000" w:rsidDel="00000000" w:rsidP="00000000" w:rsidRDefault="00000000" w:rsidRPr="00000000" w14:paraId="0000001F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0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POZITIVAN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or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NEODREĐEN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%}</w:t>
            </w:r>
          </w:p>
          <w:p w:rsidR="00000000" w:rsidDel="00000000" w:rsidP="00000000" w:rsidRDefault="00000000" w:rsidRPr="00000000" w14:paraId="00000021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varijanta in varijante %}</w:t>
            </w:r>
          </w:p>
          <w:p w:rsidR="00000000" w:rsidDel="00000000" w:rsidP="00000000" w:rsidRDefault="00000000" w:rsidRPr="00000000" w14:paraId="00000022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Kod 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varijanta.zigotnost }}na {{ varijanta.klasa }}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varijanta.HGVS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u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genu.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Patogene varijante u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 genu asocirane su sa {{ varijanta.bolest }}.</w:t>
            </w:r>
          </w:p>
          <w:p w:rsidR="00000000" w:rsidDel="00000000" w:rsidP="00000000" w:rsidRDefault="00000000" w:rsidRPr="00000000" w14:paraId="00000023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4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5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segregaciona %}</w:t>
            </w:r>
          </w:p>
          <w:p w:rsidR="00000000" w:rsidDel="00000000" w:rsidP="00000000" w:rsidRDefault="00000000" w:rsidRPr="00000000" w14:paraId="00000026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Na osnovu trenutnih naučnih dokaza, klinički značaj detektovanih varijanti još uvek nije u potpunosti utvrđen, te njihova asocijacija sa fenotipom uočenim kod {{ "pacijentkinje" if pacijent_pol == "ženski" else "pacijenta" }} nije u potpunosti razjašnjena. Neophodna je segregaciona genetička analiza kako bi se utvrdilo da li su detektovane varijante nastale de novo, što bi išlo u prilog njihove patogenosti.</w:t>
            </w:r>
          </w:p>
          <w:p w:rsidR="00000000" w:rsidDel="00000000" w:rsidP="00000000" w:rsidRDefault="00000000" w:rsidRPr="00000000" w14:paraId="00000027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rezultat_rezultat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POZITIVAN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or rezultat_rezultat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NEODREĐEN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29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DETEKTOVANA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VARIJANTA</w:t>
      </w:r>
    </w:p>
    <w:tbl>
      <w:tblPr>
        <w:tblStyle w:val="Table2"/>
        <w:tblW w:w="10275.0" w:type="dxa"/>
        <w:jc w:val="left"/>
        <w:tblInd w:w="-43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95"/>
        <w:gridCol w:w="1140"/>
        <w:gridCol w:w="1335"/>
        <w:gridCol w:w="1695"/>
        <w:gridCol w:w="1215"/>
        <w:gridCol w:w="1230"/>
        <w:gridCol w:w="1305"/>
        <w:gridCol w:w="1560"/>
        <w:tblGridChange w:id="0">
          <w:tblGrid>
            <w:gridCol w:w="795"/>
            <w:gridCol w:w="1140"/>
            <w:gridCol w:w="1335"/>
            <w:gridCol w:w="1695"/>
            <w:gridCol w:w="1215"/>
            <w:gridCol w:w="1230"/>
            <w:gridCol w:w="1305"/>
            <w:gridCol w:w="1560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Hromozom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Model nasleđivanja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Varijanta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Zigotnost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 silico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predikcija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Alelska učestalost (%)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i klasifikacija varijante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varijanta in varijante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varijanta.hromozom }}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varijanta.gen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varijanta.model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varijanta.transkript }}</w:t>
            </w:r>
          </w:p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varijanta.HGVS }}</w:t>
            </w:r>
          </w:p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Egzon: {{ varijanta.egzon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varijanta.zigotnost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MetaRNN: {{ varijanta.skor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Exomes:</w:t>
            </w:r>
          </w:p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varijanta.gnomadE }}</w:t>
            </w:r>
          </w:p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Genomes: {{ varijanta.gnomadG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varijanta.tip }}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VARIJANTE</w:t>
      </w:r>
    </w:p>
    <w:p w:rsidR="00000000" w:rsidDel="00000000" w:rsidP="00000000" w:rsidRDefault="00000000" w:rsidRPr="00000000" w14:paraId="0000004F">
      <w:pPr>
        <w:spacing w:before="240"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0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varijanta.zigotnost }}</w:t>
      </w:r>
      <w:r w:rsidDel="00000000" w:rsidR="00000000" w:rsidRPr="00000000">
        <w:rPr>
          <w:sz w:val="24"/>
          <w:szCs w:val="24"/>
          <w:rtl w:val="0"/>
        </w:rPr>
        <w:t xml:space="preserve">na genetička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genu. Prema ACMG kriterijumima za klasifikaciju, ova varijanta klasifikovana je kao {{ varijanta.klasa }} (PM5_Moderate, PM2_Supporting, PP2_Supporting, BP4_Moderate)</w:t>
      </w:r>
      <w:r w:rsidDel="00000000" w:rsidR="00000000" w:rsidRPr="00000000">
        <w:rPr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sz w:val="24"/>
          <w:szCs w:val="24"/>
          <w:rtl w:val="0"/>
        </w:rPr>
        <w:t xml:space="preserve">. Detektovana varijanta nalazi se u kodonu u kojem je prethodno prijavljena patogena missense varijanta (PM5_Moderate), i nađena je sa niskom učestalošću u GnomAD Exomes i GnomAD Genomes populacionim bazama podataka (PM2_Supporting). Takođe, detektovana varijanta se nalazi u genu u kojem su missense variajnte čest uzrok bolesti (PP2_Supporting), međutim, kompjuterski prediktivni skorovi idu u prilog njenoj benignosti (BP4_Supporting). Zbog svega navedenog,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se klasifikuje kao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varijanta.klasa }}.</w:t>
      </w:r>
    </w:p>
    <w:p w:rsidR="00000000" w:rsidDel="00000000" w:rsidP="00000000" w:rsidRDefault="00000000" w:rsidRPr="00000000" w14:paraId="00000051">
      <w:pPr>
        <w:spacing w:before="240" w:line="276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before="120" w:line="276" w:lineRule="auto"/>
        <w:jc w:val="both"/>
        <w:rPr>
          <w:b w:val="1"/>
          <w:bCs w:val="1"/>
          <w:sz w:val="24"/>
          <w:szCs w:val="24"/>
        </w:rPr>
      </w:pPr>
      <w:bookmarkStart w:colFirst="0" w:colLast="0" w:name="_heading=h.gbls017jseg2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REZULTATA</w:t>
      </w:r>
    </w:p>
    <w:p w:rsidR="00000000" w:rsidDel="00000000" w:rsidP="00000000" w:rsidRDefault="00000000" w:rsidRPr="00000000" w14:paraId="00000053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4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Patogene varijante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asocirane su sa {{ varijanta.bolest }}, koja se nasleđuje {{ varijanta.model }}. {{ varijanta.obrazlozenje }}.</w:t>
      </w:r>
    </w:p>
    <w:p w:rsidR="00000000" w:rsidDel="00000000" w:rsidP="00000000" w:rsidRDefault="00000000" w:rsidRPr="00000000" w14:paraId="00000055">
      <w:pPr>
        <w:spacing w:line="276" w:lineRule="auto"/>
        <w:ind w:left="0" w:firstLine="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7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Kris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5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270.0" w:type="dxa"/>
        <w:jc w:val="center"/>
        <w:tblLayout w:type="fixed"/>
        <w:tblLook w:val="0400"/>
      </w:tblPr>
      <w:tblGrid>
        <w:gridCol w:w="4635"/>
        <w:gridCol w:w="4635"/>
        <w:tblGridChange w:id="0">
          <w:tblGrid>
            <w:gridCol w:w="463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0" w:line="240" w:lineRule="auto"/>
              <w:rPr>
                <w:sz w:val="24"/>
                <w:szCs w:val="24"/>
              </w:rPr>
            </w:pPr>
            <w:bookmarkStart w:colFirst="0" w:colLast="0" w:name="_heading=h.9us0r6v7wph6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Analizu izvršila</w:t>
            </w:r>
          </w:p>
          <w:p w:rsidR="00000000" w:rsidDel="00000000" w:rsidP="00000000" w:rsidRDefault="00000000" w:rsidRPr="00000000" w14:paraId="0000005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2076450" cy="438150"/>
                  <wp:effectExtent b="0" l="0" r="0" t="0"/>
                  <wp:docPr descr="A close-up of a blue pen&#10;&#10;Description automatically generated" id="14" name="image3.jpg"/>
                  <a:graphic>
                    <a:graphicData uri="http://schemas.openxmlformats.org/drawingml/2006/picture">
                      <pic:pic>
                        <pic:nvPicPr>
                          <pic:cNvPr descr="A close-up of a blue pen&#10;&#10;Description automatically generated" id="0" name="image3.jpg"/>
                          <pic:cNvPicPr preferRelativeResize="0"/>
                        </pic:nvPicPr>
                        <pic:blipFill>
                          <a:blip r:embed="rId8"/>
                          <a:srcRect b="11407" l="0" r="0" t="18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Odgovorna osoba</w:t>
            </w:r>
          </w:p>
          <w:p w:rsidR="00000000" w:rsidDel="00000000" w:rsidP="00000000" w:rsidRDefault="00000000" w:rsidRPr="00000000" w14:paraId="0000005C">
            <w:pPr>
              <w:spacing w:after="0" w:before="0" w:line="276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971675" cy="400050"/>
                  <wp:effectExtent b="0" l="0" r="0" t="0"/>
                  <wp:docPr id="1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Kristel Klaassen Ljubičić</w:t>
            </w:r>
          </w:p>
          <w:p w:rsidR="00000000" w:rsidDel="00000000" w:rsidP="00000000" w:rsidRDefault="00000000" w:rsidRPr="00000000" w14:paraId="0000005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5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Marina Anđelković</w:t>
            </w:r>
          </w:p>
          <w:p w:rsidR="00000000" w:rsidDel="00000000" w:rsidP="00000000" w:rsidRDefault="00000000" w:rsidRPr="00000000" w14:paraId="00000061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6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</w:tr>
    </w:tbl>
    <w:p w:rsidR="00000000" w:rsidDel="00000000" w:rsidP="00000000" w:rsidRDefault="00000000" w:rsidRPr="00000000" w14:paraId="0000006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64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Vlada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65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414752078"/>
        <w:tag w:val="goog_rdk_0"/>
      </w:sdtPr>
      <w:sdtContent>
        <w:tbl>
          <w:tblPr>
            <w:tblStyle w:val="Table4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6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67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769528" cy="548860"/>
                      <wp:effectExtent b="0" l="0" r="0" t="0"/>
                      <wp:docPr id="15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1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69528" cy="5488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spacing w:after="0" w:before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69">
                <w:pPr>
                  <w:spacing w:after="0" w:before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A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Vladimir Gašić</w:t>
                </w:r>
              </w:p>
              <w:p w:rsidR="00000000" w:rsidDel="00000000" w:rsidP="00000000" w:rsidRDefault="00000000" w:rsidRPr="00000000" w14:paraId="0000006B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6C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D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6E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6F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7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1">
      <w:pPr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0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TEHNIČKE INFORMACIJE</w:t>
      </w:r>
    </w:p>
    <w:p w:rsidR="00000000" w:rsidDel="00000000" w:rsidP="00000000" w:rsidRDefault="00000000" w:rsidRPr="00000000" w14:paraId="00000073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Panel: </w:t>
      </w:r>
      <w:r w:rsidDel="00000000" w:rsidR="00000000" w:rsidRPr="00000000">
        <w:rPr>
          <w:sz w:val="24"/>
          <w:szCs w:val="24"/>
          <w:rtl w:val="0"/>
        </w:rPr>
        <w:t xml:space="preserve">{{ analiza_panel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Sekvencer: </w:t>
      </w:r>
      <w:r w:rsidDel="00000000" w:rsidR="00000000" w:rsidRPr="00000000">
        <w:rPr>
          <w:sz w:val="24"/>
          <w:szCs w:val="24"/>
          <w:rtl w:val="0"/>
        </w:rPr>
        <w:t xml:space="preserve">{{ analiza_instrument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Softver: VarSome Clinical (Saphetor)</w:t>
      </w:r>
    </w:p>
    <w:p w:rsidR="00000000" w:rsidDel="00000000" w:rsidP="00000000" w:rsidRDefault="00000000" w:rsidRPr="00000000" w14:paraId="00000076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Referentni Humani Genom: hg38</w:t>
      </w:r>
    </w:p>
    <w:p w:rsidR="00000000" w:rsidDel="00000000" w:rsidP="00000000" w:rsidRDefault="00000000" w:rsidRPr="00000000" w14:paraId="00000077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Populacione baze podataka: gnomAD Exomes i gnomAD Genomes</w:t>
      </w:r>
    </w:p>
    <w:p w:rsidR="00000000" w:rsidDel="00000000" w:rsidP="00000000" w:rsidRDefault="00000000" w:rsidRPr="00000000" w14:paraId="00000078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Ova analiza ne uključuje detekciju varijanti u regionima koji nisu uključeni u TruSight One panel (npr. promotorski regioni, intronski regioni itd), detekciju velikih delecija i varijacija u broju ponovaka.</w:t>
      </w:r>
    </w:p>
    <w:p w:rsidR="00000000" w:rsidDel="00000000" w:rsidP="00000000" w:rsidRDefault="00000000" w:rsidRPr="00000000" w14:paraId="00000079">
      <w:pPr>
        <w:spacing w:after="200" w:line="276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ISKLJUČIVANJE ODGOVORNOSTI</w:t>
      </w:r>
    </w:p>
    <w:p w:rsidR="00000000" w:rsidDel="00000000" w:rsidP="00000000" w:rsidRDefault="00000000" w:rsidRPr="00000000" w14:paraId="0000007A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Analize koje se primenom tehnologije sekvenciranja nove generacije obavljaju u Laboratoriji za molekularnu biomedicinu, Instituta za molekularnu genetiku i genetičko inženjerstvo Univerziteta u Beogradu ne uključuju medicinski savet, dijagnozu i lečenje, niti ih treba tumačiti na takav način. Laboratorija ne snosi odgovornost kako će rezultati ove analize dalje biti interpretirani i upotrebljeni za postavljanje dijagnoze, optimizaciju terapije ili genetičko savetovanje.</w:t>
      </w:r>
    </w:p>
    <w:p w:rsidR="00000000" w:rsidDel="00000000" w:rsidP="00000000" w:rsidRDefault="00000000" w:rsidRPr="00000000" w14:paraId="0000007B">
      <w:pPr>
        <w:spacing w:after="200" w:line="24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Laboratorija za molekularnu biomedicinu, Instituta za molekularnu genetiku i genetičko inženjerstvo Univerziteta u Beogradu nije odgovorna za primenu rezultata ove analize, niti za bilo kakve neželjene posledice koje iz takve primene mogu proisteći.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0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ref in literatura %}</w:t>
      </w:r>
    </w:p>
    <w:p w:rsidR="00000000" w:rsidDel="00000000" w:rsidP="00000000" w:rsidRDefault="00000000" w:rsidRPr="00000000" w14:paraId="0000007E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loop.index }}. {{ ref }}</w:t>
      </w:r>
    </w:p>
    <w:p w:rsidR="00000000" w:rsidDel="00000000" w:rsidP="00000000" w:rsidRDefault="00000000" w:rsidRPr="00000000" w14:paraId="0000007F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sectPr>
      <w:footerReference r:id="rId11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Strana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od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sr-Latn-R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er">
    <w:name w:val="footer"/>
    <w:basedOn w:val="Normal"/>
    <w:link w:val="FooterChar"/>
    <w:uiPriority w:val="99"/>
    <w:unhideWhenUsed w:val="1"/>
    <w:rsid w:val="00F44F0B"/>
    <w:pPr>
      <w:tabs>
        <w:tab w:val="center" w:pos="4680"/>
        <w:tab w:val="right" w:pos="9360"/>
      </w:tabs>
      <w:spacing w:after="0" w:line="240" w:lineRule="auto"/>
      <w:jc w:val="both"/>
    </w:pPr>
    <w:rPr>
      <w:rFonts w:ascii="Calibri" w:cs="Times New Roman" w:eastAsia="Calibri" w:hAnsi="Calibri"/>
    </w:rPr>
  </w:style>
  <w:style w:type="character" w:styleId="FooterChar" w:customStyle="1">
    <w:name w:val="Footer Char"/>
    <w:basedOn w:val="DefaultParagraphFont"/>
    <w:link w:val="Footer"/>
    <w:uiPriority w:val="99"/>
    <w:rsid w:val="00F44F0B"/>
    <w:rPr>
      <w:rFonts w:ascii="Calibri" w:cs="Times New Roman" w:eastAsia="Calibri" w:hAnsi="Calibri"/>
    </w:rPr>
  </w:style>
  <w:style w:type="paragraph" w:styleId="ListParagraph">
    <w:name w:val="List Paragraph"/>
    <w:basedOn w:val="Normal"/>
    <w:uiPriority w:val="34"/>
    <w:qFormat w:val="1"/>
    <w:rsid w:val="00F44F0B"/>
    <w:pPr>
      <w:ind w:left="720"/>
      <w:contextualSpacing w:val="1"/>
    </w:pPr>
  </w:style>
  <w:style w:type="character" w:styleId="single-line" w:customStyle="1">
    <w:name w:val="single-line"/>
    <w:basedOn w:val="DefaultParagraphFont"/>
    <w:rsid w:val="00F44F0B"/>
  </w:style>
  <w:style w:type="character" w:styleId="Hyperlink">
    <w:name w:val="Hyperlink"/>
    <w:basedOn w:val="DefaultParagraphFont"/>
    <w:uiPriority w:val="99"/>
    <w:unhideWhenUsed w:val="1"/>
    <w:rsid w:val="004C2497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4C2497"/>
    <w:rPr>
      <w:color w:val="605e5c"/>
      <w:shd w:color="auto" w:fill="e1dfdd" w:val="clear"/>
    </w:rPr>
  </w:style>
  <w:style w:type="table" w:styleId="TableGrid">
    <w:name w:val="Table Grid"/>
    <w:basedOn w:val="TableNormal"/>
    <w:uiPriority w:val="39"/>
    <w:rsid w:val="00F774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4A448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B337F3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337F3"/>
  </w:style>
  <w:style w:type="character" w:styleId="UnresolvedMention2" w:customStyle="1">
    <w:name w:val="Unresolved Mention2"/>
    <w:basedOn w:val="DefaultParagraphFont"/>
    <w:uiPriority w:val="99"/>
    <w:semiHidden w:val="1"/>
    <w:unhideWhenUsed w:val="1"/>
    <w:rsid w:val="00ED66CF"/>
    <w:rPr>
      <w:color w:val="605e5c"/>
      <w:shd w:color="auto" w:fill="e1dfdd" w:val="clear"/>
    </w:rPr>
  </w:style>
  <w:style w:type="character" w:styleId="UnresolvedMention" w:customStyle="1">
    <w:name w:val="Unresolved Mention"/>
    <w:basedOn w:val="DefaultParagraphFont"/>
    <w:uiPriority w:val="99"/>
    <w:semiHidden w:val="1"/>
    <w:unhideWhenUsed w:val="1"/>
    <w:rsid w:val="008159F1"/>
    <w:rPr>
      <w:color w:val="605e5c"/>
      <w:shd w:color="auto"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rsid w:val="00655446"/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character" w:styleId="Strong">
    <w:name w:val="Strong"/>
    <w:basedOn w:val="DefaultParagraphFont"/>
    <w:uiPriority w:val="22"/>
    <w:qFormat w:val="1"/>
    <w:rsid w:val="00655446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6554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4211F7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HCJIJhqYW7D/HpAImoWLXn7CUQ==">CgMxLjAaHwoBMBIaChgICVIUChJ0YWJsZS5pdzZybjN6NWtmYTUyDmguZ2JsczAxN2pzZWcyMg5oLjl1czByNnY3d3BoNjgAciExR1dqN0V5cEdpMTBZV0d4RU00RUpQUjlXR29QRjZGN28=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2022-03-16T12:22:00Z</dcterms:created>
  <dc:creator>Marina Andjelkovic</dc:creator>
</cp:coreProperties>
</file>