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3" name="image4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</w:p>
    <w:p w:rsidR="00000000" w:rsidDel="00000000" w:rsidP="00000000" w:rsidRDefault="00000000" w:rsidRPr="00000000" w14:paraId="00000016">
      <w:pPr>
        <w:spacing w:line="276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9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B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POZITIVAN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or rezultat_rezultat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NEODREĐEN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4F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0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(PM5_Moderate, PM2_Supporting, PP2_Supporting, BP4_Moderate)</w:t>
      </w:r>
      <w:r w:rsidDel="00000000" w:rsidR="00000000" w:rsidRPr="00000000">
        <w:rPr>
          <w:sz w:val="24"/>
          <w:szCs w:val="24"/>
          <w:vertAlign w:val="superscript"/>
          <w:rtl w:val="0"/>
        </w:rPr>
        <w:t xml:space="preserve">1</w:t>
      </w:r>
      <w:r w:rsidDel="00000000" w:rsidR="00000000" w:rsidRPr="00000000">
        <w:rPr>
          <w:sz w:val="24"/>
          <w:szCs w:val="24"/>
          <w:rtl w:val="0"/>
        </w:rPr>
        <w:t xml:space="preserve">. Detektovana varijanta nalazi se u kodonu u kojem je prethodno prijavljena patogena missense varijanta (PM5_Moderate), i nađena je sa niskom učestalošću u GnomAD Exomes i GnomAD Genomes populacionim bazama podataka (PM2_Supporting). Takođe, detektovana varijanta se nalazi u genu u kojem su missense variajnte čest uzrok bolesti (PP2_Supporting), međutim, kompjuterski prediktivni skorovi idu u prilog njenoj benignosti (BP4_Supporting).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1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3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5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4" name="image1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1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5C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72159115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7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5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9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6C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6E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1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7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7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7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7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79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7A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7B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7E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 }}</w:t>
      </w:r>
    </w:p>
    <w:p w:rsidR="00000000" w:rsidDel="00000000" w:rsidP="00000000" w:rsidRDefault="00000000" w:rsidRPr="00000000" w14:paraId="0000007F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HCJIJhqYW7D/HpAImoWLXn7CUQ==">CgMxLjAaHwoBMBIaChgICVIUChJ0YWJsZS5pdzZybjN6NWtmYTUyDmguZ2JsczAxN2pzZWcyMg5oLjl1czByNnY3d3BoNjgAciExR1dqN0V5cEdpMTBZV0d4RU00RUpQUjlXR29QRjZGN28=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