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Reproducibility Package Guide</w:t>
      </w:r>
    </w:p>
    <w:p>
      <w:pPr>
        <w:jc w:val="center"/>
      </w:pPr>
      <w:r>
        <w:rPr>
          <w:b/>
          <w:sz w:val="26"/>
        </w:rPr>
        <w:t>Genomic prediction of clindamycin resistance in Clostridioides difficile</w:t>
      </w:r>
    </w:p>
    <w:p>
      <w:pPr>
        <w:jc w:val="center"/>
      </w:pPr>
      <w:r>
        <w:rPr>
          <w:i/>
        </w:rPr>
        <w:t>Research artifact accompanying the computational study</w:t>
      </w:r>
    </w:p>
    <w:p>
      <w:pPr>
        <w:pStyle w:val="Heading1"/>
      </w:pPr>
      <w:r>
        <w:t>1. Purpose</w:t>
      </w:r>
    </w:p>
    <w:p>
      <w:r>
        <w:t>This package preserves the complete computational path from the merged phenotype-genotype source file to the processed feature matrix, candidate models, cross-validation results, out-of-fold predictions, figures, and a serialized functional model. Its purpose is to allow another researcher to inspect and rerun the analysis rather than relying only on values reported in the manuscript.</w:t>
      </w:r>
    </w:p>
    <w:p>
      <w:pPr>
        <w:pStyle w:val="Heading1"/>
      </w:pPr>
      <w:r>
        <w:t>2. What was done</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pPr>
              <w:spacing w:after="40" w:before="40"/>
            </w:pPr>
            <w:r>
              <w:rPr>
                <w:sz w:val="18"/>
              </w:rPr>
              <w:t>Stage</w:t>
            </w:r>
          </w:p>
        </w:tc>
        <w:tc>
          <w:tcPr>
            <w:tcW w:type="dxa" w:w="4896"/>
            <w:shd w:fill="D9EAF7"/>
          </w:tcPr>
          <w:p>
            <w:pPr>
              <w:spacing w:after="40" w:before="40"/>
            </w:pPr>
            <w:r>
              <w:rPr>
                <w:sz w:val="18"/>
              </w:rPr>
              <w:t>Implementation</w:t>
            </w:r>
          </w:p>
        </w:tc>
      </w:tr>
      <w:tr>
        <w:tc>
          <w:tcPr>
            <w:tcW w:type="dxa" w:w="4896"/>
            <w:vAlign w:val="center"/>
          </w:tcPr>
          <w:p>
            <w:pPr>
              <w:spacing w:after="40" w:before="40"/>
            </w:pPr>
            <w:r>
              <w:rPr>
                <w:sz w:val="18"/>
              </w:rPr>
              <w:t>Cohort selection</w:t>
            </w:r>
          </w:p>
        </w:tc>
        <w:tc>
          <w:tcPr>
            <w:tcW w:type="dxa" w:w="4896"/>
            <w:vAlign w:val="center"/>
          </w:tcPr>
          <w:p>
            <w:pPr>
              <w:spacing w:after="40" w:before="40"/>
            </w:pPr>
            <w:r>
              <w:rPr>
                <w:sz w:val="18"/>
              </w:rPr>
              <w:t>Filter organism = Clostridioides difficile, antibiotic = clindamycin, phenotype = resistant or susceptible.</w:t>
            </w:r>
          </w:p>
        </w:tc>
      </w:tr>
      <w:tr>
        <w:tc>
          <w:tcPr>
            <w:tcW w:type="dxa" w:w="4896"/>
            <w:vAlign w:val="center"/>
          </w:tcPr>
          <w:p>
            <w:pPr>
              <w:spacing w:after="40" w:before="40"/>
            </w:pPr>
            <w:r>
              <w:rPr>
                <w:sz w:val="18"/>
              </w:rPr>
              <w:t>Feature construction</w:t>
            </w:r>
          </w:p>
        </w:tc>
        <w:tc>
          <w:tcPr>
            <w:tcW w:type="dxa" w:w="4896"/>
            <w:vAlign w:val="center"/>
          </w:tcPr>
          <w:p>
            <w:pPr>
              <w:spacing w:after="40" w:before="40"/>
            </w:pPr>
            <w:r>
              <w:rPr>
                <w:sz w:val="18"/>
              </w:rPr>
              <w:t>AMR element symbol was used first; gene symbol and reference name were fallbacks. Presence/absence was encoded per BioSample.</w:t>
            </w:r>
          </w:p>
        </w:tc>
      </w:tr>
      <w:tr>
        <w:tc>
          <w:tcPr>
            <w:tcW w:type="dxa" w:w="4896"/>
            <w:vAlign w:val="center"/>
          </w:tcPr>
          <w:p>
            <w:pPr>
              <w:spacing w:after="40" w:before="40"/>
            </w:pPr>
            <w:r>
              <w:rPr>
                <w:sz w:val="18"/>
              </w:rPr>
              <w:t>Feature filtering</w:t>
            </w:r>
          </w:p>
        </w:tc>
        <w:tc>
          <w:tcPr>
            <w:tcW w:type="dxa" w:w="4896"/>
            <w:vAlign w:val="center"/>
          </w:tcPr>
          <w:p>
            <w:pPr>
              <w:spacing w:after="40" w:before="40"/>
            </w:pPr>
            <w:r>
              <w:rPr>
                <w:sz w:val="18"/>
              </w:rPr>
              <w:t>Features occurring in fewer than two retained isolates were removed.</w:t>
            </w:r>
          </w:p>
        </w:tc>
      </w:tr>
      <w:tr>
        <w:tc>
          <w:tcPr>
            <w:tcW w:type="dxa" w:w="4896"/>
            <w:vAlign w:val="center"/>
          </w:tcPr>
          <w:p>
            <w:pPr>
              <w:spacing w:after="40" w:before="40"/>
            </w:pPr>
            <w:r>
              <w:rPr>
                <w:sz w:val="18"/>
              </w:rPr>
              <w:t>Candidate models</w:t>
            </w:r>
          </w:p>
        </w:tc>
        <w:tc>
          <w:tcPr>
            <w:tcW w:type="dxa" w:w="4896"/>
            <w:vAlign w:val="center"/>
          </w:tcPr>
          <w:p>
            <w:pPr>
              <w:spacing w:after="40" w:before="40"/>
            </w:pPr>
            <w:r>
              <w:rPr>
                <w:sz w:val="18"/>
              </w:rPr>
              <w:t>Balanced logistic regression, random forest, and Extra Trees.</w:t>
            </w:r>
          </w:p>
        </w:tc>
      </w:tr>
      <w:tr>
        <w:tc>
          <w:tcPr>
            <w:tcW w:type="dxa" w:w="4896"/>
            <w:vAlign w:val="center"/>
          </w:tcPr>
          <w:p>
            <w:pPr>
              <w:spacing w:after="40" w:before="40"/>
            </w:pPr>
            <w:r>
              <w:rPr>
                <w:sz w:val="18"/>
              </w:rPr>
              <w:t>Validation</w:t>
            </w:r>
          </w:p>
        </w:tc>
        <w:tc>
          <w:tcPr>
            <w:tcW w:type="dxa" w:w="4896"/>
            <w:vAlign w:val="center"/>
          </w:tcPr>
          <w:p>
            <w:pPr>
              <w:spacing w:after="40" w:before="40"/>
            </w:pPr>
            <w:r>
              <w:rPr>
                <w:sz w:val="18"/>
              </w:rPr>
              <w:t>Repeated stratified 5-fold cross-validation with 5 repeats; separate shuffled stratified 5-fold out-of-fold predictions.</w:t>
            </w:r>
          </w:p>
        </w:tc>
      </w:tr>
      <w:tr>
        <w:tc>
          <w:tcPr>
            <w:tcW w:type="dxa" w:w="4896"/>
            <w:vAlign w:val="center"/>
          </w:tcPr>
          <w:p>
            <w:pPr>
              <w:spacing w:after="40" w:before="40"/>
            </w:pPr>
            <w:r>
              <w:rPr>
                <w:sz w:val="18"/>
              </w:rPr>
              <w:t>Model selection</w:t>
            </w:r>
          </w:p>
        </w:tc>
        <w:tc>
          <w:tcPr>
            <w:tcW w:type="dxa" w:w="4896"/>
            <w:vAlign w:val="center"/>
          </w:tcPr>
          <w:p>
            <w:pPr>
              <w:spacing w:after="40" w:before="40"/>
            </w:pPr>
            <w:r>
              <w:rPr>
                <w:sz w:val="18"/>
              </w:rPr>
              <w:t>Highest mean repeated-CV AUROC.</w:t>
            </w:r>
          </w:p>
        </w:tc>
      </w:tr>
      <w:tr>
        <w:tc>
          <w:tcPr>
            <w:tcW w:type="dxa" w:w="4896"/>
            <w:vAlign w:val="center"/>
          </w:tcPr>
          <w:p>
            <w:pPr>
              <w:spacing w:after="40" w:before="40"/>
            </w:pPr>
            <w:r>
              <w:rPr>
                <w:sz w:val="18"/>
              </w:rPr>
              <w:t>Final artifact</w:t>
            </w:r>
          </w:p>
        </w:tc>
        <w:tc>
          <w:tcPr>
            <w:tcW w:type="dxa" w:w="4896"/>
            <w:vAlign w:val="center"/>
          </w:tcPr>
          <w:p>
            <w:pPr>
              <w:spacing w:after="40" w:before="40"/>
            </w:pPr>
            <w:r>
              <w:rPr>
                <w:sz w:val="18"/>
              </w:rPr>
              <w:t>Selected model fitted on the complete study cohort and serialized with its ordered feature schema.</w:t>
            </w:r>
          </w:p>
        </w:tc>
      </w:tr>
    </w:tbl>
    <w:p>
      <w:pPr>
        <w:pStyle w:val="Heading1"/>
      </w:pPr>
      <w:r>
        <w:t>3. Reproduced cohort and output</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pPr>
              <w:spacing w:after="40" w:before="40"/>
            </w:pPr>
            <w:r>
              <w:rPr>
                <w:sz w:val="18"/>
              </w:rPr>
              <w:t>Quantity</w:t>
            </w:r>
          </w:p>
        </w:tc>
        <w:tc>
          <w:tcPr>
            <w:tcW w:type="dxa" w:w="4896"/>
            <w:shd w:fill="D9EAF7"/>
          </w:tcPr>
          <w:p>
            <w:pPr>
              <w:spacing w:after="40" w:before="40"/>
            </w:pPr>
            <w:r>
              <w:rPr>
                <w:sz w:val="18"/>
              </w:rPr>
              <w:t>Value</w:t>
            </w:r>
          </w:p>
        </w:tc>
      </w:tr>
      <w:tr>
        <w:tc>
          <w:tcPr>
            <w:tcW w:type="dxa" w:w="4896"/>
            <w:vAlign w:val="center"/>
          </w:tcPr>
          <w:p>
            <w:pPr>
              <w:spacing w:after="40" w:before="40"/>
            </w:pPr>
            <w:r>
              <w:rPr>
                <w:sz w:val="18"/>
              </w:rPr>
              <w:t>Eligible isolates</w:t>
            </w:r>
          </w:p>
        </w:tc>
        <w:tc>
          <w:tcPr>
            <w:tcW w:type="dxa" w:w="4896"/>
            <w:vAlign w:val="center"/>
          </w:tcPr>
          <w:p>
            <w:pPr>
              <w:spacing w:after="40" w:before="40"/>
            </w:pPr>
            <w:r>
              <w:rPr>
                <w:sz w:val="18"/>
              </w:rPr>
              <w:t>102</w:t>
            </w:r>
          </w:p>
        </w:tc>
      </w:tr>
      <w:tr>
        <w:tc>
          <w:tcPr>
            <w:tcW w:type="dxa" w:w="4896"/>
            <w:vAlign w:val="center"/>
          </w:tcPr>
          <w:p>
            <w:pPr>
              <w:spacing w:after="40" w:before="40"/>
            </w:pPr>
            <w:r>
              <w:rPr>
                <w:sz w:val="18"/>
              </w:rPr>
              <w:t>Resistant</w:t>
            </w:r>
          </w:p>
        </w:tc>
        <w:tc>
          <w:tcPr>
            <w:tcW w:type="dxa" w:w="4896"/>
            <w:vAlign w:val="center"/>
          </w:tcPr>
          <w:p>
            <w:pPr>
              <w:spacing w:after="40" w:before="40"/>
            </w:pPr>
            <w:r>
              <w:rPr>
                <w:sz w:val="18"/>
              </w:rPr>
              <w:t>35</w:t>
            </w:r>
          </w:p>
        </w:tc>
      </w:tr>
      <w:tr>
        <w:tc>
          <w:tcPr>
            <w:tcW w:type="dxa" w:w="4896"/>
            <w:vAlign w:val="center"/>
          </w:tcPr>
          <w:p>
            <w:pPr>
              <w:spacing w:after="40" w:before="40"/>
            </w:pPr>
            <w:r>
              <w:rPr>
                <w:sz w:val="18"/>
              </w:rPr>
              <w:t>Susceptible</w:t>
            </w:r>
          </w:p>
        </w:tc>
        <w:tc>
          <w:tcPr>
            <w:tcW w:type="dxa" w:w="4896"/>
            <w:vAlign w:val="center"/>
          </w:tcPr>
          <w:p>
            <w:pPr>
              <w:spacing w:after="40" w:before="40"/>
            </w:pPr>
            <w:r>
              <w:rPr>
                <w:sz w:val="18"/>
              </w:rPr>
              <w:t>67</w:t>
            </w:r>
          </w:p>
        </w:tc>
      </w:tr>
      <w:tr>
        <w:tc>
          <w:tcPr>
            <w:tcW w:type="dxa" w:w="4896"/>
            <w:vAlign w:val="center"/>
          </w:tcPr>
          <w:p>
            <w:pPr>
              <w:spacing w:after="40" w:before="40"/>
            </w:pPr>
            <w:r>
              <w:rPr>
                <w:sz w:val="18"/>
              </w:rPr>
              <w:t>Retained model features</w:t>
            </w:r>
          </w:p>
        </w:tc>
        <w:tc>
          <w:tcPr>
            <w:tcW w:type="dxa" w:w="4896"/>
            <w:vAlign w:val="center"/>
          </w:tcPr>
          <w:p>
            <w:pPr>
              <w:spacing w:after="40" w:before="40"/>
            </w:pPr>
            <w:r>
              <w:rPr>
                <w:sz w:val="18"/>
              </w:rPr>
              <w:t>3</w:t>
            </w:r>
          </w:p>
        </w:tc>
      </w:tr>
      <w:tr>
        <w:tc>
          <w:tcPr>
            <w:tcW w:type="dxa" w:w="4896"/>
            <w:vAlign w:val="center"/>
          </w:tcPr>
          <w:p>
            <w:pPr>
              <w:spacing w:after="40" w:before="40"/>
            </w:pPr>
            <w:r>
              <w:rPr>
                <w:sz w:val="18"/>
              </w:rPr>
              <w:t>Features</w:t>
            </w:r>
          </w:p>
        </w:tc>
        <w:tc>
          <w:tcPr>
            <w:tcW w:type="dxa" w:w="4896"/>
            <w:vAlign w:val="center"/>
          </w:tcPr>
          <w:p>
            <w:pPr>
              <w:spacing w:after="40" w:before="40"/>
            </w:pPr>
            <w:r>
              <w:rPr>
                <w:sz w:val="18"/>
              </w:rPr>
              <w:t>cfr(C), cplR, erm(B)</w:t>
            </w:r>
          </w:p>
        </w:tc>
      </w:tr>
      <w:tr>
        <w:tc>
          <w:tcPr>
            <w:tcW w:type="dxa" w:w="4896"/>
            <w:vAlign w:val="center"/>
          </w:tcPr>
          <w:p>
            <w:pPr>
              <w:spacing w:after="40" w:before="40"/>
            </w:pPr>
            <w:r>
              <w:rPr>
                <w:sz w:val="18"/>
              </w:rPr>
              <w:t>Selected model</w:t>
            </w:r>
          </w:p>
        </w:tc>
        <w:tc>
          <w:tcPr>
            <w:tcW w:type="dxa" w:w="4896"/>
            <w:vAlign w:val="center"/>
          </w:tcPr>
          <w:p>
            <w:pPr>
              <w:spacing w:after="40" w:before="40"/>
            </w:pPr>
            <w:r>
              <w:rPr>
                <w:sz w:val="18"/>
              </w:rPr>
              <w:t>Logistic regression</w:t>
            </w:r>
          </w:p>
        </w:tc>
      </w:tr>
      <w:tr>
        <w:tc>
          <w:tcPr>
            <w:tcW w:type="dxa" w:w="4896"/>
            <w:vAlign w:val="center"/>
          </w:tcPr>
          <w:p>
            <w:pPr>
              <w:spacing w:after="40" w:before="40"/>
            </w:pPr>
            <w:r>
              <w:rPr>
                <w:sz w:val="18"/>
              </w:rPr>
              <w:t>OOF AUROC</w:t>
            </w:r>
          </w:p>
        </w:tc>
        <w:tc>
          <w:tcPr>
            <w:tcW w:type="dxa" w:w="4896"/>
            <w:vAlign w:val="center"/>
          </w:tcPr>
          <w:p>
            <w:pPr>
              <w:spacing w:after="40" w:before="40"/>
            </w:pPr>
            <w:r>
              <w:rPr>
                <w:sz w:val="18"/>
              </w:rPr>
              <w:t>0.9036</w:t>
            </w:r>
          </w:p>
        </w:tc>
      </w:tr>
      <w:tr>
        <w:tc>
          <w:tcPr>
            <w:tcW w:type="dxa" w:w="4896"/>
            <w:vAlign w:val="center"/>
          </w:tcPr>
          <w:p>
            <w:pPr>
              <w:spacing w:after="40" w:before="40"/>
            </w:pPr>
            <w:r>
              <w:rPr>
                <w:sz w:val="18"/>
              </w:rPr>
              <w:t>OOF PR-AUC</w:t>
            </w:r>
          </w:p>
        </w:tc>
        <w:tc>
          <w:tcPr>
            <w:tcW w:type="dxa" w:w="4896"/>
            <w:vAlign w:val="center"/>
          </w:tcPr>
          <w:p>
            <w:pPr>
              <w:spacing w:after="40" w:before="40"/>
            </w:pPr>
            <w:r>
              <w:rPr>
                <w:sz w:val="18"/>
              </w:rPr>
              <w:t>0.9259</w:t>
            </w:r>
          </w:p>
        </w:tc>
      </w:tr>
      <w:tr>
        <w:tc>
          <w:tcPr>
            <w:tcW w:type="dxa" w:w="4896"/>
            <w:vAlign w:val="center"/>
          </w:tcPr>
          <w:p>
            <w:pPr>
              <w:spacing w:after="40" w:before="40"/>
            </w:pPr>
            <w:r>
              <w:rPr>
                <w:sz w:val="18"/>
              </w:rPr>
              <w:t>OOF accuracy</w:t>
            </w:r>
          </w:p>
        </w:tc>
        <w:tc>
          <w:tcPr>
            <w:tcW w:type="dxa" w:w="4896"/>
            <w:vAlign w:val="center"/>
          </w:tcPr>
          <w:p>
            <w:pPr>
              <w:spacing w:after="40" w:before="40"/>
            </w:pPr>
            <w:r>
              <w:rPr>
                <w:sz w:val="18"/>
              </w:rPr>
              <w:t>0.9608</w:t>
            </w:r>
          </w:p>
        </w:tc>
      </w:tr>
      <w:tr>
        <w:tc>
          <w:tcPr>
            <w:tcW w:type="dxa" w:w="4896"/>
            <w:vAlign w:val="center"/>
          </w:tcPr>
          <w:p>
            <w:pPr>
              <w:spacing w:after="40" w:before="40"/>
            </w:pPr>
            <w:r>
              <w:rPr>
                <w:sz w:val="18"/>
              </w:rPr>
              <w:t>OOF sensitivity</w:t>
            </w:r>
          </w:p>
        </w:tc>
        <w:tc>
          <w:tcPr>
            <w:tcW w:type="dxa" w:w="4896"/>
            <w:vAlign w:val="center"/>
          </w:tcPr>
          <w:p>
            <w:pPr>
              <w:spacing w:after="40" w:before="40"/>
            </w:pPr>
            <w:r>
              <w:rPr>
                <w:sz w:val="18"/>
              </w:rPr>
              <w:t>0.8857</w:t>
            </w:r>
          </w:p>
        </w:tc>
      </w:tr>
      <w:tr>
        <w:tc>
          <w:tcPr>
            <w:tcW w:type="dxa" w:w="4896"/>
            <w:vAlign w:val="center"/>
          </w:tcPr>
          <w:p>
            <w:pPr>
              <w:spacing w:after="40" w:before="40"/>
            </w:pPr>
            <w:r>
              <w:rPr>
                <w:sz w:val="18"/>
              </w:rPr>
              <w:t>OOF specificity</w:t>
            </w:r>
          </w:p>
        </w:tc>
        <w:tc>
          <w:tcPr>
            <w:tcW w:type="dxa" w:w="4896"/>
            <w:vAlign w:val="center"/>
          </w:tcPr>
          <w:p>
            <w:pPr>
              <w:spacing w:after="40" w:before="40"/>
            </w:pPr>
            <w:r>
              <w:rPr>
                <w:sz w:val="18"/>
              </w:rPr>
              <w:t>1.0000</w:t>
            </w:r>
          </w:p>
        </w:tc>
      </w:tr>
    </w:tbl>
    <w:p>
      <w:pPr>
        <w:pStyle w:val="Heading1"/>
      </w:pPr>
      <w:r>
        <w:t>4. Package structure</w:t>
      </w:r>
    </w:p>
    <w:p>
      <w:pPr>
        <w:pStyle w:val="ListBullet"/>
      </w:pPr>
      <w:r>
        <w:t>data/raw/ - exact compressed source file used by the pipeline</w:t>
      </w:r>
    </w:p>
    <w:p>
      <w:pPr>
        <w:pStyle w:val="ListBullet"/>
      </w:pPr>
      <w:r>
        <w:t>data/processed/ - generated feature matrix, labels, and feature schema</w:t>
      </w:r>
    </w:p>
    <w:p>
      <w:pPr>
        <w:pStyle w:val="ListBullet"/>
      </w:pPr>
      <w:r>
        <w:t>src/original_train_model.py - original analysis script retained for provenance</w:t>
      </w:r>
    </w:p>
    <w:p>
      <w:pPr>
        <w:pStyle w:val="ListBullet"/>
      </w:pPr>
      <w:r>
        <w:t>src/run_pipeline.py - portable, relative-path reproduction pipeline</w:t>
      </w:r>
    </w:p>
    <w:p>
      <w:pPr>
        <w:pStyle w:val="ListBullet"/>
      </w:pPr>
      <w:r>
        <w:t>src/predict.py - minimal inference demonstration using the serialized model</w:t>
      </w:r>
    </w:p>
    <w:p>
      <w:pPr>
        <w:pStyle w:val="ListBullet"/>
      </w:pPr>
      <w:r>
        <w:t>models/cdiff_clindamycin_model.joblib - fitted selected model + ordered features + threshold</w:t>
      </w:r>
    </w:p>
    <w:p>
      <w:pPr>
        <w:pStyle w:val="ListBullet"/>
      </w:pPr>
      <w:r>
        <w:t>results/ - metrics, predictions, confusion matrix, feature importance, prevalence, JSON summary</w:t>
      </w:r>
    </w:p>
    <w:p>
      <w:pPr>
        <w:pStyle w:val="ListBullet"/>
      </w:pPr>
      <w:r>
        <w:t>figures/ - regenerated ROC, precision-recall, feature-importance and workflow figures</w:t>
      </w:r>
    </w:p>
    <w:p>
      <w:pPr>
        <w:pStyle w:val="ListBullet"/>
      </w:pPr>
      <w:r>
        <w:t>requirements.txt / environment.txt - software dependencies and build versions</w:t>
      </w:r>
    </w:p>
    <w:p>
      <w:pPr>
        <w:pStyle w:val="ListBullet"/>
      </w:pPr>
      <w:r>
        <w:t>MODEL_CARD.md - intended use and limitations</w:t>
      </w:r>
    </w:p>
    <w:p>
      <w:pPr>
        <w:pStyle w:val="ListBullet"/>
      </w:pPr>
      <w:r>
        <w:t>DATA_DICTIONARY.md - description of generated data artifacts</w:t>
      </w:r>
    </w:p>
    <w:p>
      <w:pPr>
        <w:pStyle w:val="Heading1"/>
      </w:pPr>
      <w:r>
        <w:t>5. Exact reproduction</w:t>
      </w:r>
    </w:p>
    <w:p>
      <w:r>
        <w:t>From the package root, install the pinned dependencies and run the complete pipeline:</w:t>
      </w:r>
    </w:p>
    <w:p>
      <w:r>
        <w:rPr>
          <w:rFonts w:ascii="Consolas" w:hAnsi="Consolas"/>
          <w:sz w:val="18"/>
        </w:rPr>
        <w:t>python -m pip install -r requirements.txt</w:t>
        <w:br/>
        <w:t>python src/run_pipeline.py</w:t>
      </w:r>
    </w:p>
    <w:p>
      <w:r>
        <w:t>The source file is integrity-tracked by SHA-256. The checksum produced for this package is:</w:t>
      </w:r>
    </w:p>
    <w:p>
      <w:r>
        <w:rPr>
          <w:rFonts w:ascii="Consolas" w:hAnsi="Consolas"/>
          <w:sz w:val="17"/>
        </w:rPr>
        <w:t>eb4111f5d3c58fcb7e0b29078182929847614c847cc0aa19c23cb4a3e5dbc92b</w:t>
      </w:r>
    </w:p>
    <w:p>
      <w:pPr>
        <w:pStyle w:val="Heading1"/>
      </w:pPr>
      <w:r>
        <w:t>6. Functional model demonstration</w:t>
      </w:r>
    </w:p>
    <w:p>
      <w:r>
        <w:t>After the pipeline runs, the selected classifier is stored as a joblib artifact. The following command supplies present AMR determinants and returns a resistance probability and binary prediction:</w:t>
      </w:r>
    </w:p>
    <w:p>
      <w:r>
        <w:rPr>
          <w:rFonts w:ascii="Consolas" w:hAnsi="Consolas"/>
          <w:sz w:val="18"/>
        </w:rPr>
        <w:t>python src/predict.py --features 'erm(B),cfr(C)'</w:t>
      </w:r>
    </w:p>
    <w:p>
      <w:r>
        <w:t>The model artifact includes the classifier, ordered feature list, target description, organism, and decision threshold so inference does not depend on remembering column order manually.</w:t>
      </w:r>
    </w:p>
    <w:p>
      <w:pPr>
        <w:pStyle w:val="Heading1"/>
      </w:pPr>
      <w:r>
        <w:t>7. Key implementation parameters</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pPr>
              <w:spacing w:after="40" w:before="40"/>
            </w:pPr>
            <w:r>
              <w:rPr>
                <w:sz w:val="18"/>
              </w:rPr>
              <w:t>Component</w:t>
            </w:r>
          </w:p>
        </w:tc>
        <w:tc>
          <w:tcPr>
            <w:tcW w:type="dxa" w:w="4896"/>
            <w:shd w:fill="D9EAF7"/>
          </w:tcPr>
          <w:p>
            <w:pPr>
              <w:spacing w:after="40" w:before="40"/>
            </w:pPr>
            <w:r>
              <w:rPr>
                <w:sz w:val="18"/>
              </w:rPr>
              <w:t>Parameterization</w:t>
            </w:r>
          </w:p>
        </w:tc>
      </w:tr>
      <w:tr>
        <w:tc>
          <w:tcPr>
            <w:tcW w:type="dxa" w:w="4896"/>
            <w:vAlign w:val="center"/>
          </w:tcPr>
          <w:p>
            <w:pPr>
              <w:spacing w:after="40" w:before="40"/>
            </w:pPr>
            <w:r>
              <w:rPr>
                <w:sz w:val="18"/>
              </w:rPr>
              <w:t>Logistic regression</w:t>
            </w:r>
          </w:p>
        </w:tc>
        <w:tc>
          <w:tcPr>
            <w:tcW w:type="dxa" w:w="4896"/>
            <w:vAlign w:val="center"/>
          </w:tcPr>
          <w:p>
            <w:pPr>
              <w:spacing w:after="40" w:before="40"/>
            </w:pPr>
            <w:r>
              <w:rPr>
                <w:sz w:val="18"/>
              </w:rPr>
              <w:t>StandardScaler; class_weight=balanced; C=0.5; max_iter=5000</w:t>
            </w:r>
          </w:p>
        </w:tc>
      </w:tr>
      <w:tr>
        <w:tc>
          <w:tcPr>
            <w:tcW w:type="dxa" w:w="4896"/>
            <w:vAlign w:val="center"/>
          </w:tcPr>
          <w:p>
            <w:pPr>
              <w:spacing w:after="40" w:before="40"/>
            </w:pPr>
            <w:r>
              <w:rPr>
                <w:sz w:val="18"/>
              </w:rPr>
              <w:t>Random forest</w:t>
            </w:r>
          </w:p>
        </w:tc>
        <w:tc>
          <w:tcPr>
            <w:tcW w:type="dxa" w:w="4896"/>
            <w:vAlign w:val="center"/>
          </w:tcPr>
          <w:p>
            <w:pPr>
              <w:spacing w:after="40" w:before="40"/>
            </w:pPr>
            <w:r>
              <w:rPr>
                <w:sz w:val="18"/>
              </w:rPr>
              <w:t>250 trees; class_weight=balanced; min_samples_leaf=2; max_features=sqrt; random_state=42</w:t>
            </w:r>
          </w:p>
        </w:tc>
      </w:tr>
      <w:tr>
        <w:tc>
          <w:tcPr>
            <w:tcW w:type="dxa" w:w="4896"/>
            <w:vAlign w:val="center"/>
          </w:tcPr>
          <w:p>
            <w:pPr>
              <w:spacing w:after="40" w:before="40"/>
            </w:pPr>
            <w:r>
              <w:rPr>
                <w:sz w:val="18"/>
              </w:rPr>
              <w:t>Extra Trees</w:t>
            </w:r>
          </w:p>
        </w:tc>
        <w:tc>
          <w:tcPr>
            <w:tcW w:type="dxa" w:w="4896"/>
            <w:vAlign w:val="center"/>
          </w:tcPr>
          <w:p>
            <w:pPr>
              <w:spacing w:after="40" w:before="40"/>
            </w:pPr>
            <w:r>
              <w:rPr>
                <w:sz w:val="18"/>
              </w:rPr>
              <w:t>250 trees; class_weight=balanced; min_samples_leaf=2; max_features=sqrt; random_state=42</w:t>
            </w:r>
          </w:p>
        </w:tc>
      </w:tr>
      <w:tr>
        <w:tc>
          <w:tcPr>
            <w:tcW w:type="dxa" w:w="4896"/>
            <w:vAlign w:val="center"/>
          </w:tcPr>
          <w:p>
            <w:pPr>
              <w:spacing w:after="40" w:before="40"/>
            </w:pPr>
            <w:r>
              <w:rPr>
                <w:sz w:val="18"/>
              </w:rPr>
              <w:t>Repeated CV</w:t>
            </w:r>
          </w:p>
        </w:tc>
        <w:tc>
          <w:tcPr>
            <w:tcW w:type="dxa" w:w="4896"/>
            <w:vAlign w:val="center"/>
          </w:tcPr>
          <w:p>
            <w:pPr>
              <w:spacing w:after="40" w:before="40"/>
            </w:pPr>
            <w:r>
              <w:rPr>
                <w:sz w:val="18"/>
              </w:rPr>
              <w:t>5 folds x 5 repeats; random_state=42</w:t>
            </w:r>
          </w:p>
        </w:tc>
      </w:tr>
      <w:tr>
        <w:tc>
          <w:tcPr>
            <w:tcW w:type="dxa" w:w="4896"/>
            <w:vAlign w:val="center"/>
          </w:tcPr>
          <w:p>
            <w:pPr>
              <w:spacing w:after="40" w:before="40"/>
            </w:pPr>
            <w:r>
              <w:rPr>
                <w:sz w:val="18"/>
              </w:rPr>
              <w:t>OOF CV</w:t>
            </w:r>
          </w:p>
        </w:tc>
        <w:tc>
          <w:tcPr>
            <w:tcW w:type="dxa" w:w="4896"/>
            <w:vAlign w:val="center"/>
          </w:tcPr>
          <w:p>
            <w:pPr>
              <w:spacing w:after="40" w:before="40"/>
            </w:pPr>
            <w:r>
              <w:rPr>
                <w:sz w:val="18"/>
              </w:rPr>
              <w:t>5 folds, shuffled; random_state=2026</w:t>
            </w:r>
          </w:p>
        </w:tc>
      </w:tr>
      <w:tr>
        <w:tc>
          <w:tcPr>
            <w:tcW w:type="dxa" w:w="4896"/>
            <w:vAlign w:val="center"/>
          </w:tcPr>
          <w:p>
            <w:pPr>
              <w:spacing w:after="40" w:before="40"/>
            </w:pPr>
            <w:r>
              <w:rPr>
                <w:sz w:val="18"/>
              </w:rPr>
              <w:t>Decision threshold</w:t>
            </w:r>
          </w:p>
        </w:tc>
        <w:tc>
          <w:tcPr>
            <w:tcW w:type="dxa" w:w="4896"/>
            <w:vAlign w:val="center"/>
          </w:tcPr>
          <w:p>
            <w:pPr>
              <w:spacing w:after="40" w:before="40"/>
            </w:pPr>
            <w:r>
              <w:rPr>
                <w:sz w:val="18"/>
              </w:rPr>
              <w:t>0.5</w:t>
            </w:r>
          </w:p>
        </w:tc>
      </w:tr>
    </w:tbl>
    <w:p>
      <w:pPr>
        <w:pStyle w:val="Heading1"/>
      </w:pPr>
      <w:r>
        <w:t>8. Interpretation and limitations</w:t>
      </w:r>
    </w:p>
    <w:p>
      <w:r>
        <w:t>This package makes the computational analysis auditable, but reproducibility does not by itself establish clinical validity. The study cohort is small, only three AMR determinants survive the prevalence filter, and the underlying database sources are imbalanced with respect to phenotype. The serialized model is therefore a research artifact, not a diagnostic or treatment-selection system. External validation on an independent cohort is required before stronger generalization claims are made.</w:t>
      </w:r>
    </w:p>
    <w:p>
      <w:pPr>
        <w:pStyle w:val="Heading1"/>
      </w:pPr>
      <w:r>
        <w:t>9. Reproducibility checklist</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pPr>
              <w:spacing w:after="40" w:before="40"/>
            </w:pPr>
            <w:r>
              <w:rPr>
                <w:sz w:val="18"/>
              </w:rPr>
              <w:t>Check</w:t>
            </w:r>
          </w:p>
        </w:tc>
        <w:tc>
          <w:tcPr>
            <w:tcW w:type="dxa" w:w="4896"/>
            <w:shd w:fill="D9EAF7"/>
          </w:tcPr>
          <w:p>
            <w:pPr>
              <w:spacing w:after="40" w:before="40"/>
            </w:pPr>
            <w:r>
              <w:rPr>
                <w:sz w:val="18"/>
              </w:rPr>
              <w:t>Check</w:t>
            </w:r>
          </w:p>
        </w:tc>
      </w:tr>
      <w:tr>
        <w:tc>
          <w:tcPr>
            <w:tcW w:type="dxa" w:w="4896"/>
            <w:vAlign w:val="center"/>
          </w:tcPr>
          <w:p>
            <w:pPr>
              <w:spacing w:after="40" w:before="40"/>
            </w:pPr>
            <w:r>
              <w:rPr>
                <w:sz w:val="18"/>
              </w:rPr>
              <w:t>✓ Raw input preserved</w:t>
            </w:r>
          </w:p>
        </w:tc>
        <w:tc>
          <w:tcPr>
            <w:tcW w:type="dxa" w:w="4896"/>
            <w:vAlign w:val="center"/>
          </w:tcPr>
          <w:p>
            <w:pPr>
              <w:spacing w:after="40" w:before="40"/>
            </w:pPr>
            <w:r>
              <w:rPr>
                <w:sz w:val="18"/>
              </w:rPr>
              <w:t>✓ Input checksum recorded</w:t>
            </w:r>
          </w:p>
        </w:tc>
      </w:tr>
      <w:tr>
        <w:tc>
          <w:tcPr>
            <w:tcW w:type="dxa" w:w="4896"/>
            <w:vAlign w:val="center"/>
          </w:tcPr>
          <w:p>
            <w:pPr>
              <w:spacing w:after="40" w:before="40"/>
            </w:pPr>
            <w:r>
              <w:rPr>
                <w:sz w:val="18"/>
              </w:rPr>
              <w:t>✓ Original analysis script preserved</w:t>
            </w:r>
          </w:p>
        </w:tc>
        <w:tc>
          <w:tcPr>
            <w:tcW w:type="dxa" w:w="4896"/>
            <w:vAlign w:val="center"/>
          </w:tcPr>
          <w:p>
            <w:pPr>
              <w:spacing w:after="40" w:before="40"/>
            </w:pPr>
            <w:r>
              <w:rPr>
                <w:sz w:val="18"/>
              </w:rPr>
              <w:t>✓ Portable rerun script included</w:t>
            </w:r>
          </w:p>
        </w:tc>
      </w:tr>
      <w:tr>
        <w:tc>
          <w:tcPr>
            <w:tcW w:type="dxa" w:w="4896"/>
            <w:vAlign w:val="center"/>
          </w:tcPr>
          <w:p>
            <w:pPr>
              <w:spacing w:after="40" w:before="40"/>
            </w:pPr>
            <w:r>
              <w:rPr>
                <w:sz w:val="18"/>
              </w:rPr>
              <w:t>✓ Pinned dependency versions included</w:t>
            </w:r>
          </w:p>
        </w:tc>
        <w:tc>
          <w:tcPr>
            <w:tcW w:type="dxa" w:w="4896"/>
            <w:vAlign w:val="center"/>
          </w:tcPr>
          <w:p>
            <w:pPr>
              <w:spacing w:after="40" w:before="40"/>
            </w:pPr>
            <w:r>
              <w:rPr>
                <w:sz w:val="18"/>
              </w:rPr>
              <w:t>✓ Processed feature matrix and labels included</w:t>
            </w:r>
          </w:p>
        </w:tc>
      </w:tr>
      <w:tr>
        <w:tc>
          <w:tcPr>
            <w:tcW w:type="dxa" w:w="4896"/>
            <w:vAlign w:val="center"/>
          </w:tcPr>
          <w:p>
            <w:pPr>
              <w:spacing w:after="40" w:before="40"/>
            </w:pPr>
            <w:r>
              <w:rPr>
                <w:sz w:val="18"/>
              </w:rPr>
              <w:t>✓ Cross-validation outputs included</w:t>
            </w:r>
          </w:p>
        </w:tc>
        <w:tc>
          <w:tcPr>
            <w:tcW w:type="dxa" w:w="4896"/>
            <w:vAlign w:val="center"/>
          </w:tcPr>
          <w:p>
            <w:pPr>
              <w:spacing w:after="40" w:before="40"/>
            </w:pPr>
            <w:r>
              <w:rPr>
                <w:sz w:val="18"/>
              </w:rPr>
              <w:t>✓ Per-isolate out-of-fold predictions included</w:t>
            </w:r>
          </w:p>
        </w:tc>
      </w:tr>
      <w:tr>
        <w:tc>
          <w:tcPr>
            <w:tcW w:type="dxa" w:w="4896"/>
            <w:vAlign w:val="center"/>
          </w:tcPr>
          <w:p>
            <w:pPr>
              <w:spacing w:after="40" w:before="40"/>
            </w:pPr>
            <w:r>
              <w:rPr>
                <w:sz w:val="18"/>
              </w:rPr>
              <w:t>✓ Trained model serialized</w:t>
            </w:r>
          </w:p>
        </w:tc>
        <w:tc>
          <w:tcPr>
            <w:tcW w:type="dxa" w:w="4896"/>
            <w:vAlign w:val="center"/>
          </w:tcPr>
          <w:p>
            <w:pPr>
              <w:spacing w:after="40" w:before="40"/>
            </w:pPr>
            <w:r>
              <w:rPr>
                <w:sz w:val="18"/>
              </w:rPr>
              <w:t>✓ Inference example included</w:t>
            </w:r>
          </w:p>
        </w:tc>
      </w:tr>
      <w:tr>
        <w:tc>
          <w:tcPr>
            <w:tcW w:type="dxa" w:w="4896"/>
            <w:vAlign w:val="center"/>
          </w:tcPr>
          <w:p>
            <w:pPr>
              <w:spacing w:after="40" w:before="40"/>
            </w:pPr>
            <w:r>
              <w:rPr>
                <w:sz w:val="18"/>
              </w:rPr>
              <w:t>✓ Figures regenerable</w:t>
            </w:r>
          </w:p>
        </w:tc>
        <w:tc>
          <w:tcPr>
            <w:tcW w:type="dxa" w:w="4896"/>
            <w:vAlign w:val="center"/>
          </w:tcPr>
          <w:p>
            <w:pPr>
              <w:spacing w:after="40" w:before="40"/>
            </w:pPr>
            <w:r>
              <w:rPr>
                <w:sz w:val="18"/>
              </w:rPr>
              <w:t>✓ Model limitations documented</w:t>
            </w:r>
          </w:p>
        </w:tc>
      </w:tr>
    </w:tbl>
    <w:p>
      <w:r>
        <w:t>Package generated for research reproducibility and auditability.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