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b/>
          <w:bCs/>
          <w:color w:val="57534E"/>
          <w:spacing w:val="200"/>
          <w:sz w:val="20"/>
          <w:szCs w:val="20"/>
        </w:rPr>
        <w:t xml:space="preserve">RIVE / SHORE</w:t>
      </w:r>
    </w:p>
    <w:p>
      <w:pPr>
        <w:spacing w:after="160"/>
        <w:jc w:val="center"/>
      </w:pPr>
      <w:r>
        <w:rPr>
          <w:rFonts w:ascii="Arial" w:cs="Arial" w:eastAsia="Arial" w:hAnsi="Arial"/>
          <w:b/>
          <w:bCs/>
          <w:color w:val="9A3C00"/>
          <w:sz w:val="48"/>
          <w:szCs w:val="48"/>
        </w:rPr>
        <w:t xml:space="preserve">Psychologie comportementale</w:t>
      </w:r>
    </w:p>
    <w:p>
      <w:pPr>
        <w:spacing w:after="80"/>
        <w:jc w:val="center"/>
      </w:pPr>
      <w:r>
        <w:rPr>
          <w:rFonts w:ascii="Arial" w:cs="Arial" w:eastAsia="Arial" w:hAnsi="Arial"/>
          <w:b/>
          <w:bCs/>
          <w:color w:val="9A3C00"/>
          <w:sz w:val="40"/>
          <w:szCs w:val="40"/>
        </w:rPr>
        <w:t xml:space="preserve">appliquée à la stratégie d’affaires</w:t>
      </w:r>
    </w:p>
    <w:p>
      <w:pPr>
        <w:spacing w:after="200"/>
        <w:jc w:val="center"/>
      </w:pPr>
      <w:r>
        <w:rPr>
          <w:color w:val="57534E"/>
          <w:sz w:val="22"/>
          <w:szCs w:val="22"/>
        </w:rPr>
        <w:t xml:space="preserve">Leviers de la psychologie de la vente, du marketing et du comportement</w:t>
      </w:r>
    </w:p>
    <w:p>
      <w:pPr>
        <w:pBdr>
          <w:top w:val="single" w:color="9A3C00" w:sz="6" w:space="16"/>
        </w:pBdr>
        <w:spacing w:after="80"/>
        <w:jc w:val="center"/>
      </w:pPr>
      <w:r>
        <w:rPr>
          <w:i/>
          <w:iCs/>
          <w:color w:val="57534E"/>
          <w:sz w:val="22"/>
          <w:szCs w:val="22"/>
        </w:rPr>
        <w:t xml:space="preserve">pour surmonter les barrières à l’adoption en restauration québécoise</w:t>
      </w:r>
    </w:p>
    <w:p>
      <w:pPr>
        <w:jc w:val="center"/>
      </w:pPr>
      <w:r>
        <w:rPr>
          <w:color w:val="78716C"/>
          <w:sz w:val="20"/>
          <w:szCs w:val="20"/>
        </w:rPr>
        <w:t xml:space="preserve">Février 2026 — Document stratégique interne</w:t>
      </w:r>
    </w:p>
    <w:p>
      <w:r>
        <w:br w:type="page"/>
      </w:r>
    </w:p>
    <w:p>
      <w:pPr>
        <w:pStyle w:val="Heading1"/>
      </w:pPr>
      <w:r>
        <w:t xml:space="preserve">Introduction</w:t>
      </w:r>
    </w:p>
    <w:p>
      <w:pPr>
        <w:spacing w:after="200"/>
      </w:pPr>
      <w:r>
        <w:rPr>
          <w:sz w:val="22"/>
          <w:szCs w:val="22"/>
        </w:rPr>
        <w:t xml:space="preserve">Ce document traduit les principes de la psychologie comportementale, de la psychologie de la vente et de la psychologie du marketing en leviers concrets pour la stratégie d’affaires de Rive. Chaque levier est ancré dans la recherche académique et adapté à la réalité spécifique du marché québécois de la restauration.</w:t>
      </w:r>
    </w:p>
    <w:p>
      <w:pPr>
        <w:spacing w:after="200"/>
      </w:pPr>
      <w:r>
        <w:rPr>
          <w:sz w:val="22"/>
          <w:szCs w:val="22"/>
        </w:rPr>
        <w:t xml:space="preserve">L’analyse s’appuie sur un échange terrain avec Zacharie Baron, restaurateur québécois, qui révèle une culture de gestion relationnelle, une résistance à la tech visible, et un manque de personnel dédié à l’implémentation de systèmes.</w:t>
      </w:r>
    </w:p>
    <w:p>
      <w:pPr>
        <w:spacing w:after="200"/>
      </w:pPr>
      <w:r>
        <w:rPr>
          <w:sz w:val="22"/>
          <w:szCs w:val="22"/>
        </w:rPr>
        <w:t xml:space="preserve">Les stratégies sont organisées par étape du parcours client : avant le contact, au moment de la décision, pendant l’utilisation, pour la rétention, et pour le pricing.</w:t>
      </w:r>
    </w:p>
    <w:p>
      <w:pPr>
        <w:pBdr>
          <w:bottom w:val="single" w:color="D4C9BB" w:sz="4" w:space="8"/>
        </w:pBdr>
        <w:spacing w:before="300" w:after="300"/>
      </w:pPr>
    </w:p>
    <w:p>
      <w:r>
        <w:br w:type="page"/>
      </w:r>
    </w:p>
    <w:p>
      <w:pPr>
        <w:pStyle w:val="Heading1"/>
      </w:pPr>
      <w:r>
        <w:t xml:space="preserve">Phase 1 — Avant le premier contact</w:t>
      </w:r>
    </w:p>
    <w:p>
      <w:pPr>
        <w:pStyle w:val="Heading3"/>
      </w:pPr>
      <w:r>
        <w:t xml:space="preserve">Réduire la résistance perçue</w:t>
      </w:r>
    </w:p>
    <w:p>
      <w:pPr>
        <w:pStyle w:val="Heading2"/>
      </w:pPr>
      <w:r>
        <w:t xml:space="preserve">L’effet de dotation inversé (Endowment Effect)</w:t>
      </w:r>
    </w:p>
    <w:p>
      <w:pPr>
        <w:spacing w:after="200"/>
      </w:pPr>
      <w:r>
        <w:rPr>
          <w:sz w:val="22"/>
          <w:szCs w:val="22"/>
        </w:rPr>
        <w:t xml:space="preserve">Les restaurateurs québécois sont « dotés » de leur méthode actuelle — le feeling, le cahier, l’intuition du chef. La recherche en psychologie comportementale (Kahneman, Knetsch &amp; Thaler, 1990) montre que les gens surévaluent ce qu’ils possèdent déjà d’un facteur 2 à 3x. Le combat n’est pas contre l’absence d’outil, mais contre l’attachement émotionnel à une méthode qui « fonctionne assez bien ».</w:t>
      </w:r>
    </w:p>
    <w:p>
      <w:pPr>
        <w:pStyle w:val="Heading3"/>
      </w:pPr>
      <w:r>
        <w:t xml:space="preserve">Application à Rive</w:t>
      </w:r>
    </w:p>
    <w:p>
      <w:pPr>
        <w:pStyle w:val="ListParagraph"/>
        <w:numPr>
          <w:ilvl w:val="0"/>
          <w:numId w:val="2"/>
        </w:numPr>
        <w:spacing w:after="80"/>
      </w:pPr>
      <w:r>
        <w:rPr>
          <w:sz w:val="22"/>
          <w:szCs w:val="22"/>
        </w:rPr>
        <w:t xml:space="preserve">Ne jamais positionner Rive comme un remplacement de la méthode existante</w:t>
      </w:r>
    </w:p>
    <w:p>
      <w:pPr>
        <w:pStyle w:val="ListParagraph"/>
        <w:numPr>
          <w:ilvl w:val="0"/>
          <w:numId w:val="2"/>
        </w:numPr>
        <w:spacing w:after="80"/>
      </w:pPr>
      <w:r>
        <w:rPr>
          <w:sz w:val="22"/>
          <w:szCs w:val="22"/>
        </w:rPr>
        <w:t xml:space="preserve">Framing : « On amplifie ce que ton chef sait déjà »</w:t>
      </w:r>
    </w:p>
    <w:p>
      <w:pPr>
        <w:pStyle w:val="ListParagraph"/>
        <w:numPr>
          <w:ilvl w:val="0"/>
          <w:numId w:val="2"/>
        </w:numPr>
        <w:spacing w:after="80"/>
      </w:pPr>
      <w:r>
        <w:rPr>
          <w:sz w:val="22"/>
          <w:szCs w:val="22"/>
        </w:rPr>
        <w:t xml:space="preserve">Son intuition dit 45 couverts ? Rive dit 47, avec 3 sans gluten. On ne remplace pas le feeling, on lui donne des yeux supplémentaires</w:t>
      </w:r>
    </w:p>
    <w:p>
      <w:pPr>
        <w:spacing w:before="160" w:after="200"/>
        <w:ind w:left="360" w:right="360"/>
      </w:pPr>
      <w:r>
        <w:rPr>
          <w:i/>
          <w:iCs/>
          <w:color w:val="9A3C00"/>
          <w:sz w:val="22"/>
          <w:szCs w:val="22"/>
        </w:rPr>
        <w:t xml:space="preserve">Principe de compatibilité perçue (Rogers, 1962) — une innovation s’adopte proportionnellement à sa cohérence avec les pratiques existantes.</w:t>
      </w:r>
    </w:p>
    <w:p>
      <w:pPr>
        <w:spacing w:before="200"/>
      </w:pPr>
    </w:p>
    <w:p>
      <w:pPr>
        <w:pStyle w:val="Heading2"/>
      </w:pPr>
      <w:r>
        <w:t xml:space="preserve">Le biais de statu quo et le coût d’action asymétrique</w:t>
      </w:r>
    </w:p>
    <w:p>
      <w:pPr>
        <w:spacing w:after="200"/>
      </w:pPr>
      <w:r>
        <w:rPr>
          <w:sz w:val="22"/>
          <w:szCs w:val="22"/>
        </w:rPr>
        <w:t xml:space="preserve">Le restaurateur perçoit le coût de changer (temps, apprentissage, risque) mais sous-estime le coût de ne rien changer (gaspillage invisible, sous-préparation). Kahneman et Tversky ont montré que les pertes pèsent environ 2x plus que les gains équivalents dans la prise de décision (Prospect Theory, 1979).</w:t>
      </w:r>
    </w:p>
    <w:p>
      <w:pPr>
        <w:pStyle w:val="Heading3"/>
      </w:pPr>
      <w:r>
        <w:t xml:space="preserve">Application à Rive</w:t>
      </w:r>
    </w:p>
    <w:p>
      <w:pPr>
        <w:pStyle w:val="ListParagraph"/>
        <w:numPr>
          <w:ilvl w:val="0"/>
          <w:numId w:val="2"/>
        </w:numPr>
        <w:spacing w:after="80"/>
      </w:pPr>
      <w:r>
        <w:rPr>
          <w:sz w:val="22"/>
          <w:szCs w:val="22"/>
        </w:rPr>
        <w:t xml:space="preserve">Rendre le coût de l’inaction visible et concret</w:t>
      </w:r>
    </w:p>
    <w:p>
      <w:pPr>
        <w:pStyle w:val="ListParagraph"/>
        <w:numPr>
          <w:ilvl w:val="0"/>
          <w:numId w:val="2"/>
        </w:numPr>
        <w:spacing w:after="80"/>
      </w:pPr>
      <w:r>
        <w:rPr>
          <w:sz w:val="22"/>
          <w:szCs w:val="22"/>
        </w:rPr>
        <w:t xml:space="preserve">Calculateur sur le site : « Un resto de 80 couverts qui surprépare de 15% perd ~400$/semaine en gaspillage — soit 20 800$/an »</w:t>
      </w:r>
    </w:p>
    <w:p>
      <w:pPr>
        <w:pStyle w:val="ListParagraph"/>
        <w:numPr>
          <w:ilvl w:val="0"/>
          <w:numId w:val="2"/>
        </w:numPr>
        <w:spacing w:after="80"/>
      </w:pPr>
      <w:r>
        <w:rPr>
          <w:sz w:val="22"/>
          <w:szCs w:val="22"/>
        </w:rPr>
        <w:t xml:space="preserve">Loss framing &gt; gain framing : montrer ce qu’on perd sans Rive, pas ce qu’on gagne avec</w:t>
      </w:r>
    </w:p>
    <w:p>
      <w:pPr>
        <w:pStyle w:val="ListParagraph"/>
        <w:numPr>
          <w:ilvl w:val="0"/>
          <w:numId w:val="2"/>
        </w:numPr>
        <w:spacing w:after="80"/>
      </w:pPr>
      <w:r>
        <w:rPr>
          <w:sz w:val="22"/>
          <w:szCs w:val="22"/>
        </w:rPr>
        <w:t xml:space="preserve">Le statu quo a un prix — il faut le rendre visible</w:t>
      </w:r>
    </w:p>
    <w:p>
      <w:r>
        <w:br w:type="page"/>
      </w:r>
    </w:p>
    <w:p>
      <w:pPr>
        <w:pStyle w:val="Heading1"/>
      </w:pPr>
      <w:r>
        <w:t xml:space="preserve">Phase 2 — Au moment de la décision</w:t>
      </w:r>
    </w:p>
    <w:p>
      <w:pPr>
        <w:pStyle w:val="Heading3"/>
      </w:pPr>
      <w:r>
        <w:t xml:space="preserve">Déclencher l’action</w:t>
      </w:r>
    </w:p>
    <w:p>
      <w:pPr>
        <w:pStyle w:val="Heading2"/>
      </w:pPr>
      <w:r>
        <w:t xml:space="preserve">Réduction de friction (BJ Fogg Behavior Model)</w:t>
      </w:r>
    </w:p>
    <w:p>
      <w:pPr>
        <w:spacing w:after="200"/>
      </w:pPr>
      <w:r>
        <w:rPr>
          <w:sz w:val="22"/>
          <w:szCs w:val="22"/>
        </w:rPr>
        <w:t xml:space="preserve">BJ Fogg a montré que le comportement se produit quand trois éléments convergent : motivation, capacité et déclencheur. Pour les restaurateurs québécois, la motivation existe (moins de stress, moins de gaspillage) mais la capacité perçue est basse (pas le temps, pas tech-savvy). La solution n’est pas d’augmenter la motivation — c’est de réduire la friction à presque zéro.</w:t>
      </w:r>
    </w:p>
    <w:p>
      <w:pPr>
        <w:pStyle w:val="Heading3"/>
      </w:pPr>
      <w:r>
        <w:t xml:space="preserve">Application à Rive</w:t>
      </w:r>
    </w:p>
    <w:p>
      <w:pPr>
        <w:pStyle w:val="ListParagraph"/>
        <w:numPr>
          <w:ilvl w:val="0"/>
          <w:numId w:val="2"/>
        </w:numPr>
        <w:spacing w:after="80"/>
      </w:pPr>
      <w:r>
        <w:rPr>
          <w:sz w:val="22"/>
          <w:szCs w:val="22"/>
        </w:rPr>
        <w:t xml:space="preserve">Onboarding en 90 secondes : connecter Libro (OAuth, un bouton), confirmer le nom du restaurant, terminé</w:t>
      </w:r>
    </w:p>
    <w:p>
      <w:pPr>
        <w:pStyle w:val="ListParagraph"/>
        <w:numPr>
          <w:ilvl w:val="0"/>
          <w:numId w:val="2"/>
        </w:numPr>
        <w:spacing w:after="80"/>
      </w:pPr>
      <w:r>
        <w:rPr>
          <w:sz w:val="22"/>
          <w:szCs w:val="22"/>
        </w:rPr>
        <w:t xml:space="preserve">Le lendemain matin à 6h, le chef reçoit un SMS : « Bonjour Chef — ce soir : 43 couverts, 2 allergies, 1 anniversaire table 8 »</w:t>
      </w:r>
    </w:p>
    <w:p>
      <w:pPr>
        <w:pStyle w:val="ListParagraph"/>
        <w:numPr>
          <w:ilvl w:val="0"/>
          <w:numId w:val="2"/>
        </w:numPr>
        <w:spacing w:after="80"/>
      </w:pPr>
      <w:r>
        <w:rPr>
          <w:sz w:val="22"/>
          <w:szCs w:val="22"/>
        </w:rPr>
        <w:t xml:space="preserve">La valeur arrive à lui (push), il n’a pas à aller la chercher (pull)</w:t>
      </w:r>
    </w:p>
    <w:p>
      <w:pPr>
        <w:pStyle w:val="ListParagraph"/>
        <w:numPr>
          <w:ilvl w:val="0"/>
          <w:numId w:val="2"/>
        </w:numPr>
        <w:spacing w:after="80"/>
      </w:pPr>
      <w:r>
        <w:rPr>
          <w:sz w:val="22"/>
          <w:szCs w:val="22"/>
        </w:rPr>
        <w:t xml:space="preserve">Pour un marché résistant, le push est essentiel au démarrage</w:t>
      </w:r>
    </w:p>
    <w:p>
      <w:pPr>
        <w:spacing w:before="200"/>
      </w:pPr>
    </w:p>
    <w:p>
      <w:pPr>
        <w:pStyle w:val="Heading2"/>
      </w:pPr>
      <w:r>
        <w:t xml:space="preserve">L’effet de progression (Goal Gradient Effect)</w:t>
      </w:r>
    </w:p>
    <w:p>
      <w:pPr>
        <w:spacing w:after="200"/>
      </w:pPr>
      <w:r>
        <w:rPr>
          <w:sz w:val="22"/>
          <w:szCs w:val="22"/>
        </w:rPr>
        <w:t xml:space="preserve">La recherche de Kivetz, Urminsky &amp; Zheng (2006) montre que les gens accélèrent leur effort quand ils perçoivent qu’ils progressent vers un objectif. Une carte de fidélité pré-tamponnée (2/10 tampons remplis) génère plus de complétion qu’une carte 0/8, même si l’effort restant est identique.</w:t>
      </w:r>
    </w:p>
    <w:p>
      <w:pPr>
        <w:pStyle w:val="Heading3"/>
      </w:pPr>
      <w:r>
        <w:t xml:space="preserve">Application à Rive</w:t>
      </w:r>
    </w:p>
    <w:p>
      <w:pPr>
        <w:pStyle w:val="ListParagraph"/>
        <w:numPr>
          <w:ilvl w:val="0"/>
          <w:numId w:val="2"/>
        </w:numPr>
        <w:spacing w:after="80"/>
      </w:pPr>
      <w:r>
        <w:rPr>
          <w:sz w:val="22"/>
          <w:szCs w:val="22"/>
        </w:rPr>
        <w:t xml:space="preserve">Quand le restaurateur connecte Libro, ne pas montrer « Niveau 1 sur 3 »</w:t>
      </w:r>
    </w:p>
    <w:p>
      <w:pPr>
        <w:pStyle w:val="ListParagraph"/>
        <w:numPr>
          <w:ilvl w:val="0"/>
          <w:numId w:val="2"/>
        </w:numPr>
        <w:spacing w:after="80"/>
      </w:pPr>
      <w:r>
        <w:rPr>
          <w:sz w:val="22"/>
          <w:szCs w:val="22"/>
        </w:rPr>
        <w:t xml:space="preserve">Montrer « Votre intelligence Rive est à 40% — connectez votre POS pour passer à 70% »</w:t>
      </w:r>
    </w:p>
    <w:p>
      <w:pPr>
        <w:pStyle w:val="ListParagraph"/>
        <w:numPr>
          <w:ilvl w:val="0"/>
          <w:numId w:val="2"/>
        </w:numPr>
        <w:spacing w:after="80"/>
      </w:pPr>
      <w:r>
        <w:rPr>
          <w:sz w:val="22"/>
          <w:szCs w:val="22"/>
        </w:rPr>
        <w:t xml:space="preserve">L’utilisateur commence déjà avancé — chaque action supplémentaire fait monter la barre visuellement</w:t>
      </w:r>
    </w:p>
    <w:p>
      <w:pPr>
        <w:pStyle w:val="ListParagraph"/>
        <w:numPr>
          <w:ilvl w:val="0"/>
          <w:numId w:val="2"/>
        </w:numPr>
        <w:spacing w:after="80"/>
      </w:pPr>
      <w:r>
        <w:rPr>
          <w:sz w:val="22"/>
          <w:szCs w:val="22"/>
        </w:rPr>
        <w:t xml:space="preserve">Le système de 3 niveaux devient un parcours de progression, pas une limitation</w:t>
      </w:r>
    </w:p>
    <w:p>
      <w:r>
        <w:br w:type="page"/>
      </w:r>
    </w:p>
    <w:p>
      <w:pPr>
        <w:pStyle w:val="Heading1"/>
      </w:pPr>
      <w:r>
        <w:t xml:space="preserve">Phase 3 — Pendant l’utilisation</w:t>
      </w:r>
    </w:p>
    <w:p>
      <w:pPr>
        <w:pStyle w:val="Heading3"/>
      </w:pPr>
      <w:r>
        <w:t xml:space="preserve">Créer l’habitude</w:t>
      </w:r>
    </w:p>
    <w:p>
      <w:pPr>
        <w:pStyle w:val="Heading2"/>
      </w:pPr>
      <w:r>
        <w:t xml:space="preserve">La boucle Hook (Nir Eyal, 2014)</w:t>
      </w:r>
    </w:p>
    <w:p>
      <w:pPr>
        <w:spacing w:after="200"/>
      </w:pPr>
      <w:r>
        <w:rPr>
          <w:sz w:val="22"/>
          <w:szCs w:val="22"/>
        </w:rPr>
        <w:t xml:space="preserve">Le modèle Hook décrit 4 phases qui créent des habitudes durables : déclencheur, action, récompense variable, et investissement.</w:t>
      </w:r>
    </w:p>
    <w:p>
      <w:pPr>
        <w:pStyle w:val="Heading3"/>
      </w:pPr>
      <w:r>
        <w:t xml:space="preserve">Déclencheur</w:t>
      </w:r>
    </w:p>
    <w:p>
      <w:pPr>
        <w:pStyle w:val="ListParagraph"/>
        <w:numPr>
          <w:ilvl w:val="0"/>
          <w:numId w:val="2"/>
        </w:numPr>
        <w:spacing w:after="80"/>
      </w:pPr>
      <w:r>
        <w:rPr>
          <w:sz w:val="22"/>
          <w:szCs w:val="22"/>
        </w:rPr>
        <w:t xml:space="preserve">Externe : notification matinale « Votre prep list est prête »</w:t>
      </w:r>
    </w:p>
    <w:p>
      <w:pPr>
        <w:pStyle w:val="ListParagraph"/>
        <w:numPr>
          <w:ilvl w:val="0"/>
          <w:numId w:val="2"/>
        </w:numPr>
        <w:spacing w:after="80"/>
      </w:pPr>
      <w:r>
        <w:rPr>
          <w:sz w:val="22"/>
          <w:szCs w:val="22"/>
        </w:rPr>
        <w:t xml:space="preserve">Interne (à terme) : le rituel du matin — le chef arrive, prend son café, ouvre Rive</w:t>
      </w:r>
    </w:p>
    <w:p>
      <w:pPr>
        <w:pStyle w:val="Heading3"/>
      </w:pPr>
      <w:r>
        <w:t xml:space="preserve">Action</w:t>
      </w:r>
    </w:p>
    <w:p>
      <w:pPr>
        <w:pStyle w:val="ListParagraph"/>
        <w:numPr>
          <w:ilvl w:val="0"/>
          <w:numId w:val="2"/>
        </w:numPr>
        <w:spacing w:after="80"/>
      </w:pPr>
      <w:r>
        <w:rPr>
          <w:sz w:val="22"/>
          <w:szCs w:val="22"/>
        </w:rPr>
        <w:t xml:space="preserve">Simple et rapide : consulter la liste, 30 secondes de lecture</w:t>
      </w:r>
    </w:p>
    <w:p>
      <w:pPr>
        <w:pStyle w:val="Heading3"/>
      </w:pPr>
      <w:r>
        <w:t xml:space="preserve">Récompense variable</w:t>
      </w:r>
    </w:p>
    <w:p>
      <w:pPr>
        <w:pStyle w:val="ListParagraph"/>
        <w:numPr>
          <w:ilvl w:val="0"/>
          <w:numId w:val="2"/>
        </w:numPr>
        <w:spacing w:after="80"/>
      </w:pPr>
      <w:r>
        <w:rPr>
          <w:sz w:val="22"/>
          <w:szCs w:val="22"/>
        </w:rPr>
        <w:t xml:space="preserve">Chaque matin, la liste est différente — les alertes changent, les quantités varient</w:t>
      </w:r>
    </w:p>
    <w:p>
      <w:pPr>
        <w:pStyle w:val="ListParagraph"/>
        <w:numPr>
          <w:ilvl w:val="0"/>
          <w:numId w:val="2"/>
        </w:numPr>
        <w:spacing w:after="80"/>
      </w:pPr>
      <w:r>
        <w:rPr>
          <w:sz w:val="22"/>
          <w:szCs w:val="22"/>
        </w:rPr>
        <w:t xml:space="preserve">Parfois une surprise : « Record de réservations pour un mardi — +40% vs la moyenne »</w:t>
      </w:r>
    </w:p>
    <w:p>
      <w:pPr>
        <w:pStyle w:val="ListParagraph"/>
        <w:numPr>
          <w:ilvl w:val="0"/>
          <w:numId w:val="2"/>
        </w:numPr>
        <w:spacing w:after="80"/>
      </w:pPr>
      <w:r>
        <w:rPr>
          <w:sz w:val="22"/>
          <w:szCs w:val="22"/>
        </w:rPr>
        <w:t xml:space="preserve">Cette variabilité maintient l’engagement (principe du ratio variable de Skinner)</w:t>
      </w:r>
    </w:p>
    <w:p>
      <w:pPr>
        <w:pStyle w:val="Heading3"/>
      </w:pPr>
      <w:r>
        <w:t xml:space="preserve">Investissement</w:t>
      </w:r>
    </w:p>
    <w:p>
      <w:pPr>
        <w:pStyle w:val="ListParagraph"/>
        <w:numPr>
          <w:ilvl w:val="0"/>
          <w:numId w:val="2"/>
        </w:numPr>
        <w:spacing w:after="80"/>
      </w:pPr>
      <w:r>
        <w:rPr>
          <w:sz w:val="22"/>
          <w:szCs w:val="22"/>
        </w:rPr>
        <w:t xml:space="preserve">Le feedback de fin de service : le chef ajuste les quantités réelles</w:t>
      </w:r>
    </w:p>
    <w:p>
      <w:pPr>
        <w:pStyle w:val="ListParagraph"/>
        <w:numPr>
          <w:ilvl w:val="0"/>
          <w:numId w:val="2"/>
        </w:numPr>
        <w:spacing w:after="80"/>
      </w:pPr>
      <w:r>
        <w:rPr>
          <w:sz w:val="22"/>
          <w:szCs w:val="22"/>
        </w:rPr>
        <w:t xml:space="preserve">Chaque feedback rend le système plus intelligent pour lui</w:t>
      </w:r>
    </w:p>
    <w:p>
      <w:pPr>
        <w:pStyle w:val="ListParagraph"/>
        <w:numPr>
          <w:ilvl w:val="0"/>
          <w:numId w:val="2"/>
        </w:numPr>
        <w:spacing w:after="80"/>
      </w:pPr>
      <w:r>
        <w:rPr>
          <w:sz w:val="22"/>
          <w:szCs w:val="22"/>
        </w:rPr>
        <w:t xml:space="preserve">Plus il investit, plus il lui est coûteux de partir (sunk cost constructif)</w:t>
      </w:r>
    </w:p>
    <w:p>
      <w:pPr>
        <w:spacing w:before="200"/>
      </w:pPr>
    </w:p>
    <w:p>
      <w:pPr>
        <w:pStyle w:val="Heading2"/>
      </w:pPr>
      <w:r>
        <w:t xml:space="preserve">L’effet IKEA (Norton, Mochon &amp; Ariely, 2012)</w:t>
      </w:r>
    </w:p>
    <w:p>
      <w:pPr>
        <w:spacing w:after="200"/>
      </w:pPr>
      <w:r>
        <w:rPr>
          <w:sz w:val="22"/>
          <w:szCs w:val="22"/>
        </w:rPr>
        <w:t xml:space="preserve">Les gens valorisent davantage ce qu’ils ont contribué à construire. Le feedback loop de la Smart Prep List n’est pas juste un mécanisme d’apprentissage algorithmique — c’est un mécanisme psychologique de co-propriété émotionnelle.</w:t>
      </w:r>
    </w:p>
    <w:p>
      <w:pPr>
        <w:pStyle w:val="Heading3"/>
      </w:pPr>
      <w:r>
        <w:t xml:space="preserve">Application à Rive</w:t>
      </w:r>
    </w:p>
    <w:p>
      <w:pPr>
        <w:pStyle w:val="ListParagraph"/>
        <w:numPr>
          <w:ilvl w:val="0"/>
          <w:numId w:val="2"/>
        </w:numPr>
        <w:spacing w:after="80"/>
      </w:pPr>
      <w:r>
        <w:rPr>
          <w:sz w:val="22"/>
          <w:szCs w:val="22"/>
        </w:rPr>
        <w:t xml:space="preserve">Quand le chef voit « Précision 82%, +3% vs la semaine dernière », il se dit « c’est MON système, je l’ai entraîné »</w:t>
      </w:r>
    </w:p>
    <w:p>
      <w:pPr>
        <w:pStyle w:val="ListParagraph"/>
        <w:numPr>
          <w:ilvl w:val="0"/>
          <w:numId w:val="2"/>
        </w:numPr>
        <w:spacing w:after="80"/>
      </w:pPr>
      <w:r>
        <w:rPr>
          <w:sz w:val="22"/>
          <w:szCs w:val="22"/>
        </w:rPr>
        <w:t xml:space="preserve">Afficher : « Votre chef a calibré 47 prédictions ce mois-ci — le système est maintenant personnalisé à votre restaurant »</w:t>
      </w:r>
    </w:p>
    <w:p>
      <w:pPr>
        <w:pStyle w:val="ListParagraph"/>
        <w:numPr>
          <w:ilvl w:val="0"/>
          <w:numId w:val="2"/>
        </w:numPr>
        <w:spacing w:after="80"/>
      </w:pPr>
      <w:r>
        <w:rPr>
          <w:sz w:val="22"/>
          <w:szCs w:val="22"/>
        </w:rPr>
        <w:t xml:space="preserve">Le mot « votre » est clé — ce n’est plus l’algorithme de Rive, c’est SON intelligence</w:t>
      </w:r>
    </w:p>
    <w:p>
      <w:pPr>
        <w:pStyle w:val="ListParagraph"/>
        <w:numPr>
          <w:ilvl w:val="0"/>
          <w:numId w:val="2"/>
        </w:numPr>
        <w:spacing w:after="80"/>
      </w:pPr>
      <w:r>
        <w:rPr>
          <w:sz w:val="22"/>
          <w:szCs w:val="22"/>
        </w:rPr>
        <w:t xml:space="preserve">Levier de rétention massif : quitter Rive = abandonner un système qu’on a construit soi-même</w:t>
      </w:r>
    </w:p>
    <w:p>
      <w:r>
        <w:br w:type="page"/>
      </w:r>
    </w:p>
    <w:p>
      <w:pPr>
        <w:pStyle w:val="Heading1"/>
      </w:pPr>
      <w:r>
        <w:t xml:space="preserve">Phase 4 — Rétention</w:t>
      </w:r>
    </w:p>
    <w:p>
      <w:pPr>
        <w:pStyle w:val="Heading3"/>
      </w:pPr>
      <w:r>
        <w:t xml:space="preserve">Rendre le départ douloureux (éthiquement)</w:t>
      </w:r>
    </w:p>
    <w:p>
      <w:pPr>
        <w:pStyle w:val="Heading2"/>
      </w:pPr>
      <w:r>
        <w:t xml:space="preserve">L’aversion à la perte accumulée</w:t>
      </w:r>
    </w:p>
    <w:p>
      <w:pPr>
        <w:spacing w:after="200"/>
      </w:pPr>
      <w:r>
        <w:rPr>
          <w:sz w:val="22"/>
          <w:szCs w:val="22"/>
        </w:rPr>
        <w:t xml:space="preserve">Au fil des semaines, le système accumule des données propriétaires au restaurant : ses ratios walk-in spécifiques, ses confidence_modifiers par item, son historique de précision. Si le restaurateur part, il perd tout ça. Ce n’est pas un lock-in artificiel — c’est une valeur réelle co-créée.</w:t>
      </w:r>
    </w:p>
    <w:p>
      <w:pPr>
        <w:pStyle w:val="Heading3"/>
      </w:pPr>
      <w:r>
        <w:t xml:space="preserve">Application à Rive</w:t>
      </w:r>
    </w:p>
    <w:p>
      <w:pPr>
        <w:pStyle w:val="ListParagraph"/>
        <w:numPr>
          <w:ilvl w:val="0"/>
          <w:numId w:val="2"/>
        </w:numPr>
        <w:spacing w:after="80"/>
      </w:pPr>
      <w:r>
        <w:rPr>
          <w:sz w:val="22"/>
          <w:szCs w:val="22"/>
        </w:rPr>
        <w:t xml:space="preserve">Rapport mensuel automatique : « En 3 mois, votre système a appris que le mardi soir vous vendez 23% de risotto, que votre ratio walk-in est de 28%, et que votre chef tend à sous-estimer le saumon de 15% »</w:t>
      </w:r>
    </w:p>
    <w:p>
      <w:pPr>
        <w:pStyle w:val="ListParagraph"/>
        <w:numPr>
          <w:ilvl w:val="0"/>
          <w:numId w:val="2"/>
        </w:numPr>
        <w:spacing w:after="80"/>
      </w:pPr>
      <w:r>
        <w:rPr>
          <w:sz w:val="22"/>
          <w:szCs w:val="22"/>
        </w:rPr>
        <w:t xml:space="preserve">Ce rapport est à la fois informatif et un rappel subtil de la valeur accumulée</w:t>
      </w:r>
    </w:p>
    <w:p>
      <w:pPr>
        <w:pStyle w:val="ListParagraph"/>
        <w:numPr>
          <w:ilvl w:val="0"/>
          <w:numId w:val="2"/>
        </w:numPr>
        <w:spacing w:after="80"/>
      </w:pPr>
      <w:r>
        <w:rPr>
          <w:sz w:val="22"/>
          <w:szCs w:val="22"/>
        </w:rPr>
        <w:t xml:space="preserve">Rendre visible l’intelligence unique à ce restaurant — irreplaçable si on part</w:t>
      </w:r>
    </w:p>
    <w:p>
      <w:pPr>
        <w:spacing w:before="200"/>
      </w:pPr>
    </w:p>
    <w:p>
      <w:pPr>
        <w:pStyle w:val="Heading2"/>
      </w:pPr>
      <w:r>
        <w:t xml:space="preserve">La preuve sociale locale (Cialdini, 1984)</w:t>
      </w:r>
    </w:p>
    <w:p>
      <w:pPr>
        <w:spacing w:after="200"/>
      </w:pPr>
      <w:r>
        <w:rPr>
          <w:sz w:val="22"/>
          <w:szCs w:val="22"/>
        </w:rPr>
        <w:t xml:space="preserve">La preuve sociale est plus puissante quand elle est proximale — culturellement et géographiquement. Un restaurateur de Montréal est plus influencé par « 3 restos sur Saint-Laurent utilisent Rive » que par « 500 restaurants en Amérique du Nord ».</w:t>
      </w:r>
    </w:p>
    <w:p>
      <w:pPr>
        <w:pStyle w:val="Heading3"/>
      </w:pPr>
      <w:r>
        <w:t xml:space="preserve">Application à Rive</w:t>
      </w:r>
    </w:p>
    <w:p>
      <w:pPr>
        <w:pStyle w:val="ListParagraph"/>
        <w:numPr>
          <w:ilvl w:val="0"/>
          <w:numId w:val="2"/>
        </w:numPr>
        <w:spacing w:after="80"/>
      </w:pPr>
      <w:r>
        <w:rPr>
          <w:sz w:val="22"/>
          <w:szCs w:val="22"/>
        </w:rPr>
        <w:t xml:space="preserve">Stratégie de déploiement par quartier ou par rue gastronomique</w:t>
      </w:r>
    </w:p>
    <w:p>
      <w:pPr>
        <w:pStyle w:val="ListParagraph"/>
        <w:numPr>
          <w:ilvl w:val="0"/>
          <w:numId w:val="2"/>
        </w:numPr>
        <w:spacing w:after="80"/>
      </w:pPr>
      <w:r>
        <w:rPr>
          <w:sz w:val="22"/>
          <w:szCs w:val="22"/>
        </w:rPr>
        <w:t xml:space="preserve">Si 2 restos sur une même rue utilisent Rive, le 3e ressent la pression sociale naturelle</w:t>
      </w:r>
    </w:p>
    <w:p>
      <w:pPr>
        <w:pStyle w:val="ListParagraph"/>
        <w:numPr>
          <w:ilvl w:val="0"/>
          <w:numId w:val="2"/>
        </w:numPr>
        <w:spacing w:after="80"/>
      </w:pPr>
      <w:r>
        <w:rPr>
          <w:sz w:val="22"/>
          <w:szCs w:val="22"/>
        </w:rPr>
        <w:t xml:space="preserve">Les conversations entre restaurateurs voisins sont quotidiennes — le bouche-à-oreille est le canal naturel</w:t>
      </w:r>
    </w:p>
    <w:p>
      <w:pPr>
        <w:pStyle w:val="ListParagraph"/>
        <w:numPr>
          <w:ilvl w:val="0"/>
          <w:numId w:val="2"/>
        </w:numPr>
        <w:spacing w:after="80"/>
      </w:pPr>
      <w:r>
        <w:rPr>
          <w:sz w:val="22"/>
          <w:szCs w:val="22"/>
        </w:rPr>
        <w:t xml:space="preserve">Offrir le premier mois gratuit au « voisin » d’un client existant</w:t>
      </w:r>
    </w:p>
    <w:p>
      <w:pPr>
        <w:pStyle w:val="ListParagraph"/>
        <w:numPr>
          <w:ilvl w:val="0"/>
          <w:numId w:val="2"/>
        </w:numPr>
        <w:spacing w:after="80"/>
      </w:pPr>
      <w:r>
        <w:rPr>
          <w:sz w:val="22"/>
          <w:szCs w:val="22"/>
        </w:rPr>
        <w:t xml:space="preserve">Le référent gagne une extension gratuite, le référé commence sans friction</w:t>
      </w:r>
    </w:p>
    <w:p>
      <w:pPr>
        <w:pStyle w:val="ListParagraph"/>
        <w:numPr>
          <w:ilvl w:val="0"/>
          <w:numId w:val="2"/>
        </w:numPr>
        <w:spacing w:after="80"/>
      </w:pPr>
      <w:r>
        <w:rPr>
          <w:sz w:val="22"/>
          <w:szCs w:val="22"/>
        </w:rPr>
        <w:t xml:space="preserve">Cohérent avec la culture « humain à humain » décrite par Zacharie</w:t>
      </w:r>
    </w:p>
    <w:p>
      <w:r>
        <w:br w:type="page"/>
      </w:r>
    </w:p>
    <w:p>
      <w:pPr>
        <w:pStyle w:val="Heading1"/>
      </w:pPr>
      <w:r>
        <w:t xml:space="preserve">Phase 5 — Pricing</w:t>
      </w:r>
    </w:p>
    <w:p>
      <w:pPr>
        <w:pStyle w:val="Heading3"/>
      </w:pPr>
      <w:r>
        <w:t xml:space="preserve">La psychologie de la perception de valeur</w:t>
      </w:r>
    </w:p>
    <w:p>
      <w:pPr>
        <w:pStyle w:val="Heading2"/>
      </w:pPr>
      <w:r>
        <w:t xml:space="preserve">L’ancrage et le reframing</w:t>
      </w:r>
    </w:p>
    <w:p>
      <w:pPr>
        <w:spacing w:after="200"/>
      </w:pPr>
      <w:r>
        <w:rPr>
          <w:sz w:val="22"/>
          <w:szCs w:val="22"/>
        </w:rPr>
        <w:t xml:space="preserve">Ne jamais présenter le prix de Rive en absolu. Le présenter relativement au coût qu’il élimine. Si Rive coûte 150$/mois et qu’il économise 400$/semaine de gaspillage, le framing est : « Rive vous coûte l’équivalent de 2.5 plats gaspillés par semaine. »</w:t>
      </w:r>
    </w:p>
    <w:p>
      <w:pPr>
        <w:pStyle w:val="Heading3"/>
      </w:pPr>
      <w:r>
        <w:t xml:space="preserve">Application à Rive</w:t>
      </w:r>
    </w:p>
    <w:p>
      <w:pPr>
        <w:pStyle w:val="ListParagraph"/>
        <w:numPr>
          <w:ilvl w:val="0"/>
          <w:numId w:val="2"/>
        </w:numPr>
        <w:spacing w:after="80"/>
      </w:pPr>
      <w:r>
        <w:rPr>
          <w:sz w:val="22"/>
          <w:szCs w:val="22"/>
        </w:rPr>
        <w:t xml:space="preserve">Technique de réduction d’échelle : transformer un coût mensuel abstrait en équivalent quotidien tangible</w:t>
      </w:r>
    </w:p>
    <w:p>
      <w:pPr>
        <w:pStyle w:val="ListParagraph"/>
        <w:numPr>
          <w:ilvl w:val="0"/>
          <w:numId w:val="2"/>
        </w:numPr>
        <w:spacing w:after="80"/>
      </w:pPr>
      <w:r>
        <w:rPr>
          <w:sz w:val="22"/>
          <w:szCs w:val="22"/>
        </w:rPr>
        <w:t xml:space="preserve">Framing par rapport au dernier item de la prep list : « Rive coûte moins cher que 3 pavés de saumon par semaine. Il vous en sauve 12. »</w:t>
      </w:r>
    </w:p>
    <w:p>
      <w:pPr>
        <w:pStyle w:val="ListParagraph"/>
        <w:numPr>
          <w:ilvl w:val="0"/>
          <w:numId w:val="2"/>
        </w:numPr>
        <w:spacing w:after="80"/>
      </w:pPr>
      <w:r>
        <w:rPr>
          <w:sz w:val="22"/>
          <w:szCs w:val="22"/>
        </w:rPr>
        <w:t xml:space="preserve">Concret, dans le vocabulaire du restaurateur, ancré dans sa réalité opérationnelle</w:t>
      </w:r>
    </w:p>
    <w:p>
      <w:pPr>
        <w:spacing w:before="200"/>
      </w:pPr>
    </w:p>
    <w:p>
      <w:pPr>
        <w:pStyle w:val="Heading2"/>
      </w:pPr>
      <w:r>
        <w:t xml:space="preserve">L’essai gratuit vs le freemium stratégique</w:t>
      </w:r>
    </w:p>
    <w:p>
      <w:pPr>
        <w:spacing w:after="200"/>
      </w:pPr>
      <w:r>
        <w:rPr>
          <w:sz w:val="22"/>
          <w:szCs w:val="22"/>
        </w:rPr>
        <w:t xml:space="preserve">Les essais gratuits à durée limitée créent de l’urgence mais aussi de l’anxiété. Pour un marché résistant, le freemium est plus adapté.</w:t>
      </w:r>
    </w:p>
    <w:p>
      <w:pPr>
        <w:pStyle w:val="Heading3"/>
      </w:pPr>
      <w:r>
        <w:t xml:space="preserve">Application à Rive</w:t>
      </w:r>
    </w:p>
    <w:p>
      <w:pPr>
        <w:pStyle w:val="ListParagraph"/>
        <w:numPr>
          <w:ilvl w:val="0"/>
          <w:numId w:val="2"/>
        </w:numPr>
        <w:spacing w:after="80"/>
      </w:pPr>
      <w:r>
        <w:rPr>
          <w:sz w:val="22"/>
          <w:szCs w:val="22"/>
        </w:rPr>
        <w:t xml:space="preserve">Le niveau 1 (réservations seules) pourrait être gratuit indéfiniment</w:t>
      </w:r>
    </w:p>
    <w:p>
      <w:pPr>
        <w:pStyle w:val="ListParagraph"/>
        <w:numPr>
          <w:ilvl w:val="0"/>
          <w:numId w:val="2"/>
        </w:numPr>
        <w:spacing w:after="80"/>
      </w:pPr>
      <w:r>
        <w:rPr>
          <w:sz w:val="22"/>
          <w:szCs w:val="22"/>
        </w:rPr>
        <w:t xml:space="preserve">Le restaurateur s’habitue, construit l’habitude matinale</w:t>
      </w:r>
    </w:p>
    <w:p>
      <w:pPr>
        <w:pStyle w:val="ListParagraph"/>
        <w:numPr>
          <w:ilvl w:val="0"/>
          <w:numId w:val="2"/>
        </w:numPr>
        <w:spacing w:after="80"/>
      </w:pPr>
      <w:r>
        <w:rPr>
          <w:sz w:val="22"/>
          <w:szCs w:val="22"/>
        </w:rPr>
        <w:t xml:space="preserve">Quand il est prêt à connecter son POS pour avoir les prédictions par item — il passe en payant</w:t>
      </w:r>
    </w:p>
    <w:p>
      <w:pPr>
        <w:pStyle w:val="ListParagraph"/>
        <w:numPr>
          <w:ilvl w:val="0"/>
          <w:numId w:val="2"/>
        </w:numPr>
        <w:spacing w:after="80"/>
      </w:pPr>
      <w:r>
        <w:rPr>
          <w:sz w:val="22"/>
          <w:szCs w:val="22"/>
        </w:rPr>
        <w:t xml:space="preserve">Modèle Spotify : la version gratuite est fonctionnelle mais montre constamment ce qu’on rate</w:t>
      </w:r>
    </w:p>
    <w:p>
      <w:pPr>
        <w:pStyle w:val="ListParagraph"/>
        <w:numPr>
          <w:ilvl w:val="0"/>
          <w:numId w:val="2"/>
        </w:numPr>
        <w:spacing w:after="80"/>
      </w:pPr>
      <w:r>
        <w:rPr>
          <w:sz w:val="22"/>
          <w:szCs w:val="22"/>
        </w:rPr>
        <w:t xml:space="preserve">Call-to-action contextuel : « Connectez votre POS pour voir les portions prédites par item »</w:t>
      </w:r>
    </w:p>
    <w:p>
      <w:pPr>
        <w:pStyle w:val="ListParagraph"/>
        <w:numPr>
          <w:ilvl w:val="0"/>
          <w:numId w:val="2"/>
        </w:numPr>
        <w:spacing w:after="80"/>
      </w:pPr>
      <w:r>
        <w:rPr>
          <w:sz w:val="22"/>
          <w:szCs w:val="22"/>
        </w:rPr>
        <w:t xml:space="preserve">Pas un paywall agressif — une invitation contextuelle</w:t>
      </w:r>
    </w:p>
    <w:p>
      <w:r>
        <w:br w:type="page"/>
      </w:r>
    </w:p>
    <w:p>
      <w:pPr>
        <w:pStyle w:val="Heading1"/>
      </w:pPr>
      <w:r>
        <w:t xml:space="preserve">Synthèse — Leviers par étape du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4C9BB" w:sz="1"/>
              <w:left w:val="single" w:color="D4C9BB" w:sz="1"/>
              <w:bottom w:val="single" w:color="D4C9BB" w:sz="1"/>
              <w:right w:val="single" w:color="D4C9BB" w:sz="1"/>
            </w:tcBorders>
            <w:shd w:fill="E8E0D6" w:val="clear"/>
            <w:tcMar>
              <w:top w:type="dxa" w:w="80"/>
              <w:left w:type="dxa" w:w="120"/>
              <w:bottom w:type="dxa" w:w="80"/>
              <w:right w:type="dxa" w:w="120"/>
            </w:tcMar>
          </w:tcPr>
          <w:p>
            <w:r>
              <w:rPr>
                <w:rFonts w:ascii="Arial" w:cs="Arial" w:eastAsia="Arial" w:hAnsi="Arial"/>
                <w:b/>
                <w:bCs/>
                <w:color w:val="141210"/>
                <w:sz w:val="20"/>
                <w:szCs w:val="20"/>
              </w:rPr>
              <w:t xml:space="preserve">Étape</w:t>
            </w:r>
          </w:p>
        </w:tc>
        <w:tc>
          <w:tcPr>
            <w:tcW w:type="dxa" w:w="3780"/>
            <w:tcBorders>
              <w:top w:val="single" w:color="D4C9BB" w:sz="1"/>
              <w:left w:val="single" w:color="D4C9BB" w:sz="1"/>
              <w:bottom w:val="single" w:color="D4C9BB" w:sz="1"/>
              <w:right w:val="single" w:color="D4C9BB" w:sz="1"/>
            </w:tcBorders>
            <w:shd w:fill="E8E0D6" w:val="clear"/>
            <w:tcMar>
              <w:top w:type="dxa" w:w="80"/>
              <w:left w:type="dxa" w:w="120"/>
              <w:bottom w:type="dxa" w:w="80"/>
              <w:right w:type="dxa" w:w="120"/>
            </w:tcMar>
          </w:tcPr>
          <w:p>
            <w:r>
              <w:rPr>
                <w:rFonts w:ascii="Arial" w:cs="Arial" w:eastAsia="Arial" w:hAnsi="Arial"/>
                <w:b/>
                <w:bCs/>
                <w:color w:val="141210"/>
                <w:sz w:val="20"/>
                <w:szCs w:val="20"/>
              </w:rPr>
              <w:t xml:space="preserve">Leviers psychologiques</w:t>
            </w:r>
          </w:p>
        </w:tc>
        <w:tc>
          <w:tcPr>
            <w:tcW w:type="dxa" w:w="3780"/>
            <w:tcBorders>
              <w:top w:val="single" w:color="D4C9BB" w:sz="1"/>
              <w:left w:val="single" w:color="D4C9BB" w:sz="1"/>
              <w:bottom w:val="single" w:color="D4C9BB" w:sz="1"/>
              <w:right w:val="single" w:color="D4C9BB" w:sz="1"/>
            </w:tcBorders>
            <w:shd w:fill="E8E0D6" w:val="clear"/>
            <w:tcMar>
              <w:top w:type="dxa" w:w="80"/>
              <w:left w:type="dxa" w:w="120"/>
              <w:bottom w:type="dxa" w:w="80"/>
              <w:right w:type="dxa" w:w="120"/>
            </w:tcMar>
          </w:tcPr>
          <w:p>
            <w:r>
              <w:rPr>
                <w:rFonts w:ascii="Arial" w:cs="Arial" w:eastAsia="Arial" w:hAnsi="Arial"/>
                <w:b/>
                <w:bCs/>
                <w:color w:val="141210"/>
                <w:sz w:val="20"/>
                <w:szCs w:val="20"/>
              </w:rPr>
              <w:t xml:space="preserve">Actions Rive</w:t>
            </w:r>
          </w:p>
        </w:tc>
      </w:tr>
      <w:tr>
        <w:tc>
          <w:tcPr>
            <w:tcW w:type="dxa" w:w="180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b/>
                <w:bCs/>
                <w:color w:val="9A3C00"/>
                <w:sz w:val="20"/>
                <w:szCs w:val="20"/>
              </w:rPr>
              <w:t xml:space="preserve">Acquisition</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Loss framing (coût de l’inaction), preuve sociale locale (par quartier), reframing du prix</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Calculateur de gaspillage, déploiement par rue gastronomique, prix en équivalent plats</w:t>
            </w:r>
          </w:p>
        </w:tc>
      </w:tr>
      <w:tr>
        <w:tc>
          <w:tcPr>
            <w:tcW w:type="dxa" w:w="180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b/>
                <w:bCs/>
                <w:color w:val="9A3C00"/>
                <w:sz w:val="20"/>
                <w:szCs w:val="20"/>
              </w:rPr>
              <w:t xml:space="preserve">Activation</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Friction zéro (Fogg), push &gt; pull, progression perçue (Kivetz)</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Onboarding 90 sec, SMS matinal, barre à 40% dès connexion Libro</w:t>
            </w:r>
          </w:p>
        </w:tc>
      </w:tr>
      <w:tr>
        <w:tc>
          <w:tcPr>
            <w:tcW w:type="dxa" w:w="180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b/>
                <w:bCs/>
                <w:color w:val="9A3C00"/>
                <w:sz w:val="20"/>
                <w:szCs w:val="20"/>
              </w:rPr>
              <w:t xml:space="preserve">Engagement</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Hook Model (Eyal), effet IKEA (Norton), récompense variable (Skinner)</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Notification matinale, alertes surprises, feedback 30 sec, précision affichée</w:t>
            </w:r>
          </w:p>
        </w:tc>
      </w:tr>
      <w:tr>
        <w:tc>
          <w:tcPr>
            <w:tcW w:type="dxa" w:w="180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b/>
                <w:bCs/>
                <w:color w:val="9A3C00"/>
                <w:sz w:val="20"/>
                <w:szCs w:val="20"/>
              </w:rPr>
              <w:t xml:space="preserve">Rétention</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Aversion à la perte accumulée, sunk cost constructif, co-propriété émotionnelle</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Rapport mensuel de valeur, données propriétaires irreplaçables, « votre » intelligence</w:t>
            </w:r>
          </w:p>
        </w:tc>
      </w:tr>
      <w:tr>
        <w:tc>
          <w:tcPr>
            <w:tcW w:type="dxa" w:w="180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b/>
                <w:bCs/>
                <w:color w:val="9A3C00"/>
                <w:sz w:val="20"/>
                <w:szCs w:val="20"/>
              </w:rPr>
              <w:t xml:space="preserve">Referral</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Preuve sociale proximale (Cialdini), réciprocité</w:t>
            </w:r>
          </w:p>
        </w:tc>
        <w:tc>
          <w:tcPr>
            <w:tcW w:type="dxa" w:w="3780"/>
            <w:tcBorders>
              <w:top w:val="single" w:color="D4C9BB" w:sz="1"/>
              <w:left w:val="single" w:color="D4C9BB" w:sz="1"/>
              <w:bottom w:val="single" w:color="D4C9BB" w:sz="1"/>
              <w:right w:val="single" w:color="D4C9BB" w:sz="1"/>
            </w:tcBorders>
            <w:tcMar>
              <w:top w:type="dxa" w:w="80"/>
              <w:left w:type="dxa" w:w="120"/>
              <w:bottom w:type="dxa" w:w="80"/>
              <w:right w:type="dxa" w:w="120"/>
            </w:tcMar>
          </w:tcPr>
          <w:p>
            <w:r>
              <w:rPr>
                <w:rFonts w:ascii="Arial" w:cs="Arial" w:eastAsia="Arial" w:hAnsi="Arial"/>
                <w:color w:val="141210"/>
                <w:sz w:val="20"/>
                <w:szCs w:val="20"/>
              </w:rPr>
              <w:t xml:space="preserve">Offre voisin, extension gratuite pour référent, bouche-à-oreille naturel</w:t>
            </w:r>
          </w:p>
        </w:tc>
      </w:tr>
    </w:tbl>
    <w:p>
      <w:pPr>
        <w:spacing w:before="400"/>
      </w:pPr>
    </w:p>
    <w:p>
      <w:pPr>
        <w:pStyle w:val="Heading2"/>
      </w:pPr>
      <w:r>
        <w:t xml:space="preserve">Références académiques</w:t>
      </w:r>
    </w:p>
    <w:p>
      <w:pPr>
        <w:pStyle w:val="ListParagraph"/>
        <w:numPr>
          <w:ilvl w:val="0"/>
          <w:numId w:val="2"/>
        </w:numPr>
        <w:spacing w:after="80"/>
      </w:pPr>
      <w:r>
        <w:rPr>
          <w:sz w:val="22"/>
          <w:szCs w:val="22"/>
        </w:rPr>
        <w:t xml:space="preserve">Kahneman, D. &amp; Tversky, A. (1979). Prospect Theory: An Analysis of Decision under Risk</w:t>
      </w:r>
    </w:p>
    <w:p>
      <w:pPr>
        <w:pStyle w:val="ListParagraph"/>
        <w:numPr>
          <w:ilvl w:val="0"/>
          <w:numId w:val="2"/>
        </w:numPr>
        <w:spacing w:after="80"/>
      </w:pPr>
      <w:r>
        <w:rPr>
          <w:sz w:val="22"/>
          <w:szCs w:val="22"/>
        </w:rPr>
        <w:t xml:space="preserve">Kahneman, D., Knetsch, J.L. &amp; Thaler, R.H. (1990). Experimental Tests of the Endowment Effect</w:t>
      </w:r>
    </w:p>
    <w:p>
      <w:pPr>
        <w:pStyle w:val="ListParagraph"/>
        <w:numPr>
          <w:ilvl w:val="0"/>
          <w:numId w:val="2"/>
        </w:numPr>
        <w:spacing w:after="80"/>
      </w:pPr>
      <w:r>
        <w:rPr>
          <w:sz w:val="22"/>
          <w:szCs w:val="22"/>
        </w:rPr>
        <w:t xml:space="preserve">Rogers, E.M. (1962). Diffusion of Innovations</w:t>
      </w:r>
    </w:p>
    <w:p>
      <w:pPr>
        <w:pStyle w:val="ListParagraph"/>
        <w:numPr>
          <w:ilvl w:val="0"/>
          <w:numId w:val="2"/>
        </w:numPr>
        <w:spacing w:after="80"/>
      </w:pPr>
      <w:r>
        <w:rPr>
          <w:sz w:val="22"/>
          <w:szCs w:val="22"/>
        </w:rPr>
        <w:t xml:space="preserve">Fogg, B.J. (2009). A Behavior Model for Persuasive Design</w:t>
      </w:r>
    </w:p>
    <w:p>
      <w:pPr>
        <w:pStyle w:val="ListParagraph"/>
        <w:numPr>
          <w:ilvl w:val="0"/>
          <w:numId w:val="2"/>
        </w:numPr>
        <w:spacing w:after="80"/>
      </w:pPr>
      <w:r>
        <w:rPr>
          <w:sz w:val="22"/>
          <w:szCs w:val="22"/>
        </w:rPr>
        <w:t xml:space="preserve">Kivetz, R., Urminsky, O. &amp; Zheng, Y. (2006). The Goal-Gradient Hypothesis Resurrected</w:t>
      </w:r>
    </w:p>
    <w:p>
      <w:pPr>
        <w:pStyle w:val="ListParagraph"/>
        <w:numPr>
          <w:ilvl w:val="0"/>
          <w:numId w:val="2"/>
        </w:numPr>
        <w:spacing w:after="80"/>
      </w:pPr>
      <w:r>
        <w:rPr>
          <w:sz w:val="22"/>
          <w:szCs w:val="22"/>
        </w:rPr>
        <w:t xml:space="preserve">Eyal, N. (2014). Hooked: How to Build Habit-Forming Products</w:t>
      </w:r>
    </w:p>
    <w:p>
      <w:pPr>
        <w:pStyle w:val="ListParagraph"/>
        <w:numPr>
          <w:ilvl w:val="0"/>
          <w:numId w:val="2"/>
        </w:numPr>
        <w:spacing w:after="80"/>
      </w:pPr>
      <w:r>
        <w:rPr>
          <w:sz w:val="22"/>
          <w:szCs w:val="22"/>
        </w:rPr>
        <w:t xml:space="preserve">Norton, M.I., Mochon, D. &amp; Ariely, D. (2012). The IKEA Effect</w:t>
      </w:r>
    </w:p>
    <w:p>
      <w:pPr>
        <w:pStyle w:val="ListParagraph"/>
        <w:numPr>
          <w:ilvl w:val="0"/>
          <w:numId w:val="2"/>
        </w:numPr>
        <w:spacing w:after="80"/>
      </w:pPr>
      <w:r>
        <w:rPr>
          <w:sz w:val="22"/>
          <w:szCs w:val="22"/>
        </w:rPr>
        <w:t xml:space="preserve">Cialdini, R.B. (1984). Influence: The Psychology of Persuasion</w:t>
      </w:r>
    </w:p>
    <w:p>
      <w:pPr>
        <w:pStyle w:val="ListParagraph"/>
        <w:numPr>
          <w:ilvl w:val="0"/>
          <w:numId w:val="2"/>
        </w:numPr>
        <w:spacing w:after="80"/>
      </w:pPr>
      <w:r>
        <w:rPr>
          <w:sz w:val="22"/>
          <w:szCs w:val="22"/>
        </w:rPr>
        <w:t xml:space="preserve">Skinner, B.F. (1957). Schedules of Reinforcement (ratio variable)</w:t>
      </w:r>
    </w:p>
    <w:p>
      <w:pPr>
        <w:spacing w:before="300"/>
      </w:pPr>
    </w:p>
    <w:p>
      <w:pPr>
        <w:pBdr>
          <w:top w:val="single" w:color="D4C9BB" w:sz="4" w:space="12"/>
        </w:pBdr>
        <w:spacing w:before="200"/>
      </w:pPr>
      <w:r>
        <w:rPr>
          <w:i/>
          <w:iCs/>
          <w:color w:val="57534E"/>
          <w:sz w:val="22"/>
          <w:szCs w:val="22"/>
        </w:rPr>
        <w:t xml:space="preserve">Ce document est un outil stratégique interne. Les principes décrits sont des leviers éthiques — ils fonctionnent parce qu’ils alignent la valeur réelle du produit avec la psychologie naturelle de l’utilisateur. Rive ne manipule pas — Rive réduit les frictions entre un restaurateur et l’outil qui lui fait gagner du temps et de l’argent.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2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9A3C00"/>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4121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753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2026-02-28T08:55:00.337Z</dcterms:created>
  <dcterms:modified xsi:type="dcterms:W3CDTF">2026-02-28T08:55:00.338Z</dcterms:modified>
</cp:coreProperties>
</file>

<file path=docProps/custom.xml><?xml version="1.0" encoding="utf-8"?>
<Properties xmlns="http://schemas.openxmlformats.org/officeDocument/2006/custom-properties" xmlns:vt="http://schemas.openxmlformats.org/officeDocument/2006/docPropsVTypes"/>
</file>