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Efectos de red, masa crítica y trampas de coordinación en billeteras virtuales y FinTech</w:t>
      </w:r>
    </w:p>
    <w:p>
      <w:pPr/>
      <w:r>
        <w:rPr>
          <w:i/>
        </w:rPr>
        <w:t xml:space="preserve">Trabajo Práctico 6 — Avance preliminar. Autor/a: [completar]. Materia: [completar].</w:t>
      </w:r>
    </w:p>
    <w:p>
      <w:pPr>
        <w:pStyle w:val="Heading2"/>
      </w:pPr>
      <w:r>
        <w:t xml:space="preserve">1. Introducción y pregunta de investigación</w:t>
      </w:r>
    </w:p>
    <w:p>
      <w:pPr/>
      <w:r>
        <w:t xml:space="preserve">Las billeteras virtuales (Mercado Pago, MODO) compiten en un mercado donde el valor del servicio para cada usuario depende de cuántos otros lo usan y de cuántos comercios lo aceptan. Esta externalidad de red genera dinámicas de adopción no lineales: una plataforma puede crecer de forma explosiva o quedar estancada, según el tamaño de red que esperen los consumidores.</w:t>
      </w:r>
    </w:p>
    <w:p>
      <w:pPr/>
      <w:r>
        <w:rPr>
          <w:b/>
        </w:rPr>
        <w:t xml:space="preserve">Pregunta principal:</w:t>
      </w:r>
      <w:r>
        <w:t xml:space="preserve"> ¿bajo qué condiciones una billetera virtual alcanza un equilibrio de alta adopción, y por qué el mercado puede quedar atrapado en un equilibrio de baja adopción aunque el servicio sea valioso para todos?</w:t>
      </w:r>
    </w:p>
    <w:p>
      <w:pPr/>
      <w:r>
        <w:rPr>
          <w:b/>
        </w:rPr>
        <w:t xml:space="preserve">Preguntas secundarias:</w:t>
      </w:r>
    </w:p>
    <w:p>
      <w:pPr>
        <w:pStyle w:val="ListParagraph"/>
        <w:numPr>
          <w:ilvl w:val="0"/>
          <w:numId w:val="2"/>
        </w:numPr>
      </w:pPr>
      <w:r>
        <w:t xml:space="preserve">¿Cuál es la masa crítica a partir de la cual la red crece por sí sola?</w:t>
      </w:r>
    </w:p>
    <w:p>
      <w:pPr>
        <w:pStyle w:val="ListParagraph"/>
        <w:numPr>
          <w:ilvl w:val="0"/>
          <w:numId w:val="2"/>
        </w:numPr>
      </w:pPr>
      <w:r>
        <w:t xml:space="preserve">¿Qué políticas (subsidios iniciales, interoperabilidad) permiten desplazar al mercado hacia el equilibrio de mayor adopción?</w:t>
      </w:r>
    </w:p>
    <w:p>
      <w:pPr>
        <w:pStyle w:val="ListParagraph"/>
        <w:numPr>
          <w:ilvl w:val="0"/>
          <w:numId w:val="2"/>
        </w:numPr>
      </w:pPr>
      <w:r>
        <w:t xml:space="preserve">¿Qué precio fijaría una plataforma que maximiza beneficios y cómo interactúa ese precio con la trampa de coordinación?</w:t>
      </w:r>
    </w:p>
    <w:p>
      <w:pPr>
        <w:pStyle w:val="Heading2"/>
      </w:pPr>
      <w:r>
        <w:t xml:space="preserve">2. Hipótesis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H1.</w:t>
      </w:r>
      <w:r>
        <w:t xml:space="preserve"> Con externalidades de red existen múltiples equilibrios con expectativas autocumplidas: uno sin adopción, uno intermedio inestable y uno alto estable.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H2.</w:t>
      </w:r>
      <w:r>
        <w:t xml:space="preserve"> Existe una masa crítica: por debajo de ella la red se contrae hasta desaparecer, y por encima crece hasta el equilibrio alto.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H3.</w:t>
      </w:r>
      <w:r>
        <w:t xml:space="preserve"> Un subsidio inicial reduce la masa crítica. La interoperabilidad también lo hace, porque amplía la red efectiva a la que accede cada usuario.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H4.</w:t>
      </w:r>
      <w:r>
        <w:t xml:space="preserve"> El precio que maximiza el beneficio de la plataforma es mayor que el precio de adopción dado y agranda la masa crítica, por lo que la plataforma enfrenta un dilema entre rentabilidad y puesta en marcha de la red.</w:t>
      </w:r>
    </w:p>
    <w:p>
      <w:pPr>
        <w:pStyle w:val="Heading2"/>
      </w:pPr>
      <w:r>
        <w:t xml:space="preserve">3. Estado del arte (esquema)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Externalidades de red y compatibilidad:</w:t>
      </w:r>
      <w:r>
        <w:t xml:space="preserve"> Katz y Shapiro (1985, 1994) y Farrell y Saloner (1985, 1986). Son la base de los equilibrios múltiples, la inercia y la elección de estándares.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Lock-in e historia:</w:t>
      </w:r>
      <w:r>
        <w:t xml:space="preserve"> Arthur (1989), sobre cómo eventos tempranos pueden fijar una tecnología aunque no sea la mejor.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Mercados bilaterales:</w:t>
      </w:r>
      <w:r>
        <w:t xml:space="preserve"> Rochet y Tirole (2003, 2006), Armstrong (2006) y Evans y Schmalensee. Tratan el problema del huevo y la gallina entre usuarios y comercios y la estructura de precios óptima.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Interconexión e interoperabilidad:</w:t>
      </w:r>
      <w:r>
        <w:t xml:space="preserve"> Crémer, Rey y Tirole (2000), sobre los incentivos de las redes grandes a no interconectarse.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Caso argentino (a desarrollar):</w:t>
      </w:r>
      <w:r>
        <w:t xml:space="preserve"> pagos QR, regulación del BCRA sobre interoperabilidad y competencia entre Mercado Pago y MODO. Hay que buscar fuentes y datos actuales y verificarlos antes de citarlos.</w:t>
      </w:r>
    </w:p>
    <w:p>
      <w:pPr>
        <w:pStyle w:val="Heading2"/>
      </w:pPr>
      <w:r>
        <w:t xml:space="preserve">4. Marco y metodología</w:t>
      </w:r>
    </w:p>
    <w:p>
      <w:pPr/>
      <w:r>
        <w:t xml:space="preserve">Se utiliza un modelo de forma reducida con consumidores heterogéneos. La utilidad de adoptar para el consumidor θ es:</w:t>
      </w:r>
    </w:p>
    <w:p>
      <w:pPr/>
      <w:r>
        <w:rPr>
          <w:b/>
        </w:rPr>
        <w:t xml:space="preserve">U = θ · (α · yᵉ) − P</w:t>
      </w:r>
      <w:r>
        <w:t xml:space="preserve">, con θ ~ Uniforme[0,1], α = 1 y P = 0,16.</w:t>
      </w:r>
    </w:p>
    <w:p>
      <w:pPr/>
      <w:r>
        <w:t xml:space="preserve">Aquí yᵉ es el tamaño esperado de la red (fracción de adoptantes), α la intensidad de la externalidad y P el costo efectivo de adopción. El análisis es de estática comparativa y dinámica cualitativa: se buscan los puntos fijos y = yᵉ (expectativas autocumplidas) y se evalúa su estabilidad mediante la pendiente de la función de respuesta.</w:t>
      </w:r>
    </w:p>
    <w:p>
      <w:pPr/>
      <w:r>
        <w:rPr>
          <w:i/>
        </w:rPr>
        <w:t xml:space="preserve">Limitación:</w:t>
      </w:r>
      <w:r>
        <w:t xml:space="preserve"> el enunciado describe un mercado bilateral, pero la ecuación modela una única externalidad agregada. Una extensión natural es separar usuarios y comercios, cada uno con su propia función de utilidad.</w:t>
      </w:r>
    </w:p>
    <w:p>
      <w:pPr>
        <w:pStyle w:val="Heading2"/>
      </w:pPr>
      <w:r>
        <w:t xml:space="preserve">5. Resultados preliminares</w:t>
      </w:r>
    </w:p>
    <w:p>
      <w:pPr>
        <w:pStyle w:val="Heading3"/>
      </w:pPr>
      <w:r>
        <w:t xml:space="preserve">5.1 Consumidor marginal</w:t>
      </w:r>
    </w:p>
    <w:p>
      <w:pPr/>
      <w:r>
        <w:t xml:space="preserve">El consumidor indiferente cumple U = 0, entonces:</w:t>
      </w:r>
    </w:p>
    <w:p>
      <w:pPr/>
      <w:r>
        <w:rPr>
          <w:b/>
        </w:rPr>
        <w:t xml:space="preserve">θ* = P / (α · yᵉ) = 0,16 / yᵉ</w:t>
      </w:r>
    </w:p>
    <w:p>
      <w:pPr/>
      <w:r>
        <w:t xml:space="preserve">Adopta quien tiene θ ≥ θ*. Como θ es uniforme en [0,1], la adopción realizada es </w:t>
      </w:r>
      <w:r>
        <w:rPr>
          <w:b/>
        </w:rPr>
        <w:t xml:space="preserve">y = 1 − 0,16 / yᵉ</w:t>
      </w:r>
      <w:r>
        <w:t xml:space="preserve"> si yᵉ &gt; 0,16, y y = 0 en caso contrario.</w:t>
      </w:r>
    </w:p>
    <w:p>
      <w:pPr>
        <w:pStyle w:val="Heading3"/>
      </w:pPr>
      <w:r>
        <w:t xml:space="preserve">5.2 Equilibrios y estabilidad</w:t>
      </w:r>
    </w:p>
    <w:p>
      <w:pPr/>
      <w:r>
        <w:t xml:space="preserve">Imponiendo expectativas autocumplidas (y = yᵉ): 1 − 0,16/y = y, es decir y² − y + 0,16 = 0, de donde:</w:t>
      </w:r>
    </w:p>
    <w:p>
      <w:pPr/>
      <w:r>
        <w:t xml:space="preserve">y = (1 ± √(1 − 0,64)) / 2 = (1 ± 0,6) / 2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136"/>
        <w:gridCol w:w="964"/>
        <w:gridCol w:w="4352"/>
        <w:gridCol w:w="1906"/>
      </w:tblGrid>
      <w:tr>
        <w:trPr>
          <w:tblHeader/>
        </w:trPr>
        <w:tc>
          <w:tcPr>
            <w:tcW w:w="2136" w:type="dxa"/>
            <w:shd w:val="clear" w:color="auto" w:fill="F2F2F2"/>
          </w:tcPr>
          <w:p>
            <w:pPr/>
            <w:r>
              <w:t xml:space="preserve">Equilibrio</w:t>
            </w:r>
          </w:p>
        </w:tc>
        <w:tc>
          <w:tcPr>
            <w:tcW w:w="964" w:type="dxa"/>
            <w:shd w:val="clear" w:color="auto" w:fill="F2F2F2"/>
          </w:tcPr>
          <w:p>
            <w:pPr/>
            <w:r>
              <w:t xml:space="preserve">y</w:t>
            </w:r>
          </w:p>
        </w:tc>
        <w:tc>
          <w:tcPr>
            <w:tcW w:w="4352" w:type="dxa"/>
            <w:shd w:val="clear" w:color="auto" w:fill="F2F2F2"/>
          </w:tcPr>
          <w:p>
            <w:pPr/>
            <w:r>
              <w:t xml:space="preserve">Pendiente f′(y) = 0,16 / y²</w:t>
            </w:r>
          </w:p>
        </w:tc>
        <w:tc>
          <w:tcPr>
            <w:tcW w:w="1906" w:type="dxa"/>
            <w:shd w:val="clear" w:color="auto" w:fill="F2F2F2"/>
          </w:tcPr>
          <w:p>
            <w:pPr/>
            <w:r>
              <w:t xml:space="preserve">Estabilidad</w:t>
            </w:r>
          </w:p>
        </w:tc>
      </w:tr>
      <w:tr>
        <w:tc>
          <w:tcPr>
            <w:tcW w:w="2136" w:type="dxa"/>
          </w:tcPr>
          <w:p>
            <w:pPr/>
            <w:r>
              <w:t xml:space="preserve">Sin adopción</w:t>
            </w:r>
          </w:p>
        </w:tc>
        <w:tc>
          <w:tcPr>
            <w:tcW w:w="964" w:type="dxa"/>
          </w:tcPr>
          <w:p>
            <w:pPr/>
            <w:r>
              <w:t xml:space="preserve">0</w:t>
            </w:r>
          </w:p>
        </w:tc>
        <w:tc>
          <w:tcPr>
            <w:tcW w:w="4352" w:type="dxa"/>
          </w:tcPr>
          <w:p>
            <w:pPr/>
            <w:r>
              <w:t xml:space="preserve">0</w:t>
            </w:r>
          </w:p>
        </w:tc>
        <w:tc>
          <w:tcPr>
            <w:tcW w:w="1906" w:type="dxa"/>
          </w:tcPr>
          <w:p>
            <w:pPr/>
            <w:r>
              <w:t xml:space="preserve">Estable</w:t>
            </w:r>
          </w:p>
        </w:tc>
      </w:tr>
      <w:tr>
        <w:tc>
          <w:tcPr>
            <w:tcW w:w="2136" w:type="dxa"/>
          </w:tcPr>
          <w:p>
            <w:pPr/>
            <w:r>
              <w:t xml:space="preserve">Intermedio</w:t>
            </w:r>
          </w:p>
        </w:tc>
        <w:tc>
          <w:tcPr>
            <w:tcW w:w="964" w:type="dxa"/>
          </w:tcPr>
          <w:p>
            <w:pPr/>
            <w:r>
              <w:t xml:space="preserve">0,20</w:t>
            </w:r>
          </w:p>
        </w:tc>
        <w:tc>
          <w:tcPr>
            <w:tcW w:w="4352" w:type="dxa"/>
          </w:tcPr>
          <w:p>
            <w:pPr/>
            <w:r>
              <w:t xml:space="preserve">4 (&gt; 1)</w:t>
            </w:r>
          </w:p>
        </w:tc>
        <w:tc>
          <w:tcPr>
            <w:tcW w:w="1906" w:type="dxa"/>
          </w:tcPr>
          <w:p>
            <w:pPr/>
            <w:r>
              <w:t xml:space="preserve">Inestable</w:t>
            </w:r>
          </w:p>
        </w:tc>
      </w:tr>
      <w:tr>
        <w:tc>
          <w:tcPr>
            <w:tcW w:w="2136" w:type="dxa"/>
          </w:tcPr>
          <w:p>
            <w:pPr/>
            <w:r>
              <w:t xml:space="preserve">Alto</w:t>
            </w:r>
          </w:p>
        </w:tc>
        <w:tc>
          <w:tcPr>
            <w:tcW w:w="964" w:type="dxa"/>
          </w:tcPr>
          <w:p>
            <w:pPr/>
            <w:r>
              <w:t xml:space="preserve">0,80</w:t>
            </w:r>
          </w:p>
        </w:tc>
        <w:tc>
          <w:tcPr>
            <w:tcW w:w="4352" w:type="dxa"/>
          </w:tcPr>
          <w:p>
            <w:pPr/>
            <w:r>
              <w:t xml:space="preserve">0,25 (&lt; 1)</w:t>
            </w:r>
          </w:p>
        </w:tc>
        <w:tc>
          <w:tcPr>
            <w:tcW w:w="1906" w:type="dxa"/>
          </w:tcPr>
          <w:p>
            <w:pPr/>
            <w:r>
              <w:t xml:space="preserve">Estable</w:t>
            </w:r>
          </w:p>
        </w:tc>
      </w:tr>
    </w:tbl>
    <w:p>
      <w:pPr/>
      <w:r>
        <w:t xml:space="preserve">Un equilibrio es estable cuando la pendiente de la función de respuesta es menor que 1 en ese punto. Si es mayor que 1, cualquier desvío se amplifica.</w:t>
      </w:r>
    </w:p>
    <w:p>
      <w:pPr>
        <w:pStyle w:val="Heading3"/>
      </w:pPr>
      <w:r>
        <w:t xml:space="preserve">5.3 Masa crítica</w:t>
      </w:r>
    </w:p>
    <w:p>
      <w:pPr/>
      <w:r>
        <w:t xml:space="preserve">La masa crítica es el equilibrio intermedio inestable: </w:t>
      </w:r>
      <w:r>
        <w:rPr>
          <w:b/>
        </w:rPr>
        <w:t xml:space="preserve">y* = 20 %</w:t>
      </w:r>
      <w:r>
        <w:t xml:space="preserve">. Si las expectativas superan 0,20, la adopción realizada supera a la esperada y la red converge a 0,80. Si están por debajo, se contrae hasta 0.</w:t>
      </w:r>
    </w:p>
    <w:p>
      <w:pPr/>
      <w:r>
        <w:rPr>
          <w:i/>
        </w:rPr>
        <w:t xml:space="preserve">Gráfico 1. Función de respuesta f(y) frente a la diagonal: equilibrios y masa crítica.</w:t>
      </w:r>
    </w:p>
    <w:p>
      <w:pPr/>
      <w:r>
        <w:drawing>
          <wp:inline distT="0" distB="0" distL="0" distR="0">
            <wp:extent cx="5486400" cy="3804557"/>
            <wp:docPr id="1" name="image1" descr="Elaboración propia · P = 0,16, α =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Elaboración propia · P = 0,16, α = 1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Elaboración propia · P = 0,16, α = 1</w:t>
      </w:r>
    </w:p>
    <w:p>
      <w:pPr>
        <w:pStyle w:val="Heading3"/>
      </w:pPr>
      <w:r>
        <w:t xml:space="preserve">5.4 Lock-in, inercia y políticas</w:t>
      </w:r>
    </w:p>
    <w:p>
      <w:pPr/>
      <w:r>
        <w:rPr>
          <w:b/>
        </w:rPr>
        <w:t xml:space="preserve">Lock-in e inercia.</w:t>
      </w:r>
      <w:r>
        <w:t xml:space="preserve"> Si el mercado parte por debajo de 20 % (por ejemplo, una billetera nueva o un lanzamiento fallido), queda atrapado en el equilibrio sin adopción aunque 80 % sería mejor para todos. Es una trampa de coordinación: nadie adopta porque nadie espera que otros adopten.</w:t>
      </w:r>
    </w:p>
    <w:p>
      <w:pPr/>
      <w:r>
        <w:rPr>
          <w:b/>
        </w:rPr>
        <w:t xml:space="preserve">Subsidio inicial.</w:t>
      </w:r>
      <w:r>
        <w:t xml:space="preserve"> Si el costo efectivo baja a P′ = P − s, los equilibrios son y = (1 ± √(1 − 4P′)) / 2 y la masa crítica es y* = (1 − √(1 − 4P′)) / 2.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589"/>
        <w:gridCol w:w="4720"/>
        <w:gridCol w:w="2050"/>
      </w:tblGrid>
      <w:tr>
        <w:trPr>
          <w:tblHeader/>
        </w:trPr>
        <w:tc>
          <w:tcPr>
            <w:tcW w:w="2589" w:type="dxa"/>
            <w:shd w:val="clear" w:color="auto" w:fill="F2F2F2"/>
          </w:tcPr>
          <w:p>
            <w:pPr/>
            <w:r>
              <w:t xml:space="preserve">Costo efectivo P′</w:t>
            </w:r>
          </w:p>
        </w:tc>
        <w:tc>
          <w:tcPr>
            <w:tcW w:w="4720" w:type="dxa"/>
            <w:shd w:val="clear" w:color="auto" w:fill="F2F2F2"/>
          </w:tcPr>
          <w:p>
            <w:pPr/>
            <w:r>
              <w:t xml:space="preserve">Masa crítica</w:t>
            </w:r>
          </w:p>
        </w:tc>
        <w:tc>
          <w:tcPr>
            <w:tcW w:w="2050" w:type="dxa"/>
            <w:shd w:val="clear" w:color="auto" w:fill="F2F2F2"/>
          </w:tcPr>
          <w:p>
            <w:pPr/>
            <w:r>
              <w:t xml:space="preserve">Equilibrio alto</w:t>
            </w:r>
          </w:p>
        </w:tc>
      </w:tr>
      <w:tr>
        <w:tc>
          <w:tcPr>
            <w:tcW w:w="2589" w:type="dxa"/>
          </w:tcPr>
          <w:p>
            <w:pPr/>
            <w:r>
              <w:t xml:space="preserve">0,16 (base)</w:t>
            </w:r>
          </w:p>
        </w:tc>
        <w:tc>
          <w:tcPr>
            <w:tcW w:w="4720" w:type="dxa"/>
          </w:tcPr>
          <w:p>
            <w:pPr/>
            <w:r>
              <w:t xml:space="preserve">20,0 %</w:t>
            </w:r>
          </w:p>
        </w:tc>
        <w:tc>
          <w:tcPr>
            <w:tcW w:w="2050" w:type="dxa"/>
          </w:tcPr>
          <w:p>
            <w:pPr/>
            <w:r>
              <w:t xml:space="preserve">80,0 %</w:t>
            </w:r>
          </w:p>
        </w:tc>
      </w:tr>
      <w:tr>
        <w:tc>
          <w:tcPr>
            <w:tcW w:w="2589" w:type="dxa"/>
          </w:tcPr>
          <w:p>
            <w:pPr/>
            <w:r>
              <w:t xml:space="preserve">0,09</w:t>
            </w:r>
          </w:p>
        </w:tc>
        <w:tc>
          <w:tcPr>
            <w:tcW w:w="4720" w:type="dxa"/>
          </w:tcPr>
          <w:p>
            <w:pPr/>
            <w:r>
              <w:t xml:space="preserve">10,0 %</w:t>
            </w:r>
          </w:p>
        </w:tc>
        <w:tc>
          <w:tcPr>
            <w:tcW w:w="2050" w:type="dxa"/>
          </w:tcPr>
          <w:p>
            <w:pPr/>
            <w:r>
              <w:t xml:space="preserve">90,0 %</w:t>
            </w:r>
          </w:p>
        </w:tc>
      </w:tr>
      <w:tr>
        <w:tc>
          <w:tcPr>
            <w:tcW w:w="2589" w:type="dxa"/>
          </w:tcPr>
          <w:p>
            <w:pPr/>
            <w:r>
              <w:t xml:space="preserve">0,00</w:t>
            </w:r>
          </w:p>
        </w:tc>
        <w:tc>
          <w:tcPr>
            <w:tcW w:w="4720" w:type="dxa"/>
          </w:tcPr>
          <w:p>
            <w:pPr/>
            <w:r>
              <w:t xml:space="preserve">0 % (sin trampa)</w:t>
            </w:r>
          </w:p>
        </w:tc>
        <w:tc>
          <w:tcPr>
            <w:tcW w:w="2050" w:type="dxa"/>
          </w:tcPr>
          <w:p>
            <w:pPr/>
            <w:r>
              <w:t xml:space="preserve">100 %</w:t>
            </w:r>
          </w:p>
        </w:tc>
      </w:tr>
      <w:tr>
        <w:tc>
          <w:tcPr>
            <w:tcW w:w="2589" w:type="dxa"/>
          </w:tcPr>
          <w:p>
            <w:pPr/>
            <w:r>
              <w:t xml:space="preserve">0,25</w:t>
            </w:r>
          </w:p>
        </w:tc>
        <w:tc>
          <w:tcPr>
            <w:tcW w:w="4720" w:type="dxa"/>
          </w:tcPr>
          <w:p>
            <w:pPr/>
            <w:r>
              <w:t xml:space="preserve">50 % (los dos equilibrios se funden)</w:t>
            </w:r>
          </w:p>
        </w:tc>
        <w:tc>
          <w:tcPr>
            <w:tcW w:w="2050" w:type="dxa"/>
          </w:tcPr>
          <w:p>
            <w:pPr/>
            <w:r>
              <w:t xml:space="preserve">50 %</w:t>
            </w:r>
          </w:p>
        </w:tc>
      </w:tr>
      <w:tr>
        <w:tc>
          <w:tcPr>
            <w:tcW w:w="2589" w:type="dxa"/>
          </w:tcPr>
          <w:p>
            <w:pPr/>
            <w:r>
              <w:t xml:space="preserve">&gt; 0,25</w:t>
            </w:r>
          </w:p>
        </w:tc>
        <w:tc>
          <w:tcPr>
            <w:tcW w:w="4720" w:type="dxa"/>
          </w:tcPr>
          <w:p>
            <w:pPr/>
            <w:r>
              <w:t xml:space="preserve">No hay equilibrio con adopción</w:t>
            </w:r>
          </w:p>
        </w:tc>
        <w:tc>
          <w:tcPr>
            <w:tcW w:w="2050" w:type="dxa"/>
          </w:tcPr>
          <w:p>
            <w:pPr/>
            <w:r>
              <w:t xml:space="preserve">—</w:t>
            </w:r>
          </w:p>
        </w:tc>
      </w:tr>
    </w:tbl>
    <w:p>
      <w:pPr/>
      <w:r>
        <w:rPr>
          <w:b/>
        </w:rPr>
        <w:t xml:space="preserve">Interoperabilidad.</w:t>
      </w:r>
      <w:r>
        <w:t xml:space="preserve"> Funciona como un aumento de α, porque cada usuario accede a más comercios y más usuarios aunque su billetera sea chica. Con α general, y = (1 ± √(1 − 4P/α)) / 2. Con α = 1,5 la masa crítica baja a ≈ 12,1 % y el equilibrio alto sube a ≈ 87,9 %.</w:t>
      </w:r>
    </w:p>
    <w:p>
      <w:pPr/>
      <w:r>
        <w:rPr>
          <w:b/>
        </w:rPr>
        <w:t xml:space="preserve">Lectura económica.</w:t>
      </w:r>
      <w:r>
        <w:t xml:space="preserve"> El subsidio actúa sobre el precio y es temporal: sirve para cruzar el umbral y después se retira. La interoperabilidad actúa sobre el valor de la red y es permanente, pero puede chocar con los incentivos de la plataforma dominante, que se beneficia de su tamaño relativo.</w:t>
      </w:r>
    </w:p>
    <w:p>
      <w:pPr/>
      <w:r>
        <w:rPr>
          <w:i/>
        </w:rPr>
        <w:t xml:space="preserve">Gráfico 2. Masa crítica y equilibrio alto según el costo efectivo de adopción.</w:t>
      </w:r>
    </w:p>
    <w:p>
      <w:pPr/>
      <w:r>
        <w:drawing>
          <wp:inline distT="0" distB="0" distL="0" distR="0">
            <wp:extent cx="5486400" cy="3518807"/>
            <wp:docPr id="2" name="image2" descr="Elaboración propia · α = 1, P entre 0 y 0,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Elaboración propia · α = 1, P entre 0 y 0,30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8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Elaboración propia · α = 1, P entre 0 y 0,30</w:t>
      </w:r>
    </w:p>
    <w:p>
      <w:pPr>
        <w:pStyle w:val="Heading2"/>
      </w:pPr>
      <w:r>
        <w:t xml:space="preserve">6. Extensión microeconómica: la plataforma como monopolista</w:t>
      </w:r>
    </w:p>
    <w:p>
      <w:pPr/>
      <w:r>
        <w:t xml:space="preserve">Se supone una única plataforma con costo marginal c = 0 (simplificación) que elige el precio P y logra coordinar al mercado en el equilibrio alto. Su función de beneficio es:</w:t>
      </w:r>
    </w:p>
    <w:p>
      <w:pPr/>
      <w:r>
        <w:rPr>
          <w:b/>
        </w:rPr>
        <w:t xml:space="preserve">π(P) = P · y(P) = P · (1 + √(1 − 4P)) / 2</w:t>
      </w:r>
      <w:r>
        <w:t xml:space="preserve">, para P ≤ 0,25.</w:t>
      </w:r>
    </w:p>
    <w:p>
      <w:pPr/>
      <w:r>
        <w:t xml:space="preserve">Con el cambio de variable s = √(1 − 4P) se tiene P = (1 − s²)/4 e y = (1 + s)/2, de modo que π = (1 − s)(1 + s)² / 8. La condición de primer orden dπ/ds = (1 + s)(1 − 3s)/8 = 0 da s = 1/3 y por lo tanto: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Precio de monopolio:</w:t>
      </w:r>
      <w:r>
        <w:t xml:space="preserve"> P* = 2/9 ≈ 0,222.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Adopción de equilibrio:</w:t>
      </w:r>
      <w:r>
        <w:t xml:space="preserve"> y = 2/3 ≈ 66,7 %.</w:t>
      </w:r>
    </w:p>
    <w:p>
      <w:pPr>
        <w:pStyle w:val="ListParagraph"/>
        <w:numPr>
          <w:ilvl w:val="0"/>
          <w:numId w:val="5"/>
        </w:numPr>
      </w:pPr>
      <w:r>
        <w:rPr>
          <w:b/>
        </w:rPr>
        <w:t xml:space="preserve">Beneficio máximo:</w:t>
      </w:r>
      <w:r>
        <w:t xml:space="preserve"> π = 4/27 ≈ 0,148, frente a π = 0,16 × 0,80 = 0,128 con el precio dado.</w:t>
      </w:r>
    </w:p>
    <w:p>
      <w:pPr/>
      <w:r>
        <w:rPr>
          <w:b/>
        </w:rPr>
        <w:t xml:space="preserve">Implicación (H4).</w:t>
      </w:r>
      <w:r>
        <w:t xml:space="preserve"> Con P = 2/9 la masa crítica sube a y* = (1 − 1/3)/2 = 1/3 ≈ 33 %, contra 20 % con P = 0,16. El precio que maximiza el beneficio en el equilibrio alto agranda la trampa de coordinación. Esto justifica una estrategia de precios de penetración (precio bajo o subsidio al inicio) y un aumento posterior del precio una vez superada la masa crítica.</w:t>
      </w:r>
    </w:p>
    <w:p>
      <w:pPr/>
      <w:r>
        <w:rPr>
          <w:i/>
        </w:rPr>
        <w:t xml:space="preserve">Gráfico 3. Función de beneficio de la plataforma y precio de monopolio.</w:t>
      </w:r>
    </w:p>
    <w:p>
      <w:pPr/>
      <w:r>
        <w:drawing>
          <wp:inline distT="0" distB="0" distL="0" distR="0">
            <wp:extent cx="5486400" cy="3878035"/>
            <wp:docPr id="3" name="image3" descr="Elaboración propia · α = 1, costo marginal 0, equilibrio alto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Elaboración propia · α = 1, costo marginal 0, equilibrio alto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Elaboración propia · α = 1, costo marginal 0, equilibrio alto</w:t>
      </w:r>
    </w:p>
    <w:p>
      <w:pPr/>
      <w:r>
        <w:rPr>
          <w:b/>
        </w:rPr>
        <w:t xml:space="preserve">Extensiones posibles (a desarrollar si el docente lo considera pertinente):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Competencia à la Bertrand</w:t>
      </w:r>
      <w:r>
        <w:t xml:space="preserve"> entre dos billeteras: con efectos de red el mercado tiende a </w:t>
      </w:r>
      <w:r>
        <w:rPr>
          <w:i/>
        </w:rPr>
        <w:t xml:space="preserve">winner-take-all</w:t>
      </w:r>
      <w:r>
        <w:t xml:space="preserve">, y la competencia en precios puede llevar a precios por debajo del costo (guerras de subsidios) en la fase de captura de usuarios.</w:t>
      </w:r>
    </w:p>
    <w:p>
      <w:pPr>
        <w:pStyle w:val="ListParagraph"/>
        <w:numPr>
          <w:ilvl w:val="0"/>
          <w:numId w:val="6"/>
        </w:numPr>
      </w:pPr>
      <w:r>
        <w:rPr>
          <w:b/>
        </w:rPr>
        <w:t xml:space="preserve">Colusión e interoperabilidad:</w:t>
      </w:r>
      <w:r>
        <w:t xml:space="preserve"> un acuerdo de interoperabilidad entre competidores puede leerse como compatibilidad procompetitiva (baja la masa crítica) o como un acuerdo que atenúa la rivalidad. Conviene analizar ambos efectos.</w:t>
      </w:r>
    </w:p>
    <w:bookmarkStart w:id="0" w:name="Xd8bc58fea2d5a93bd714841be54b495d0f5ab8a"/>
    <w:p>
      <w:pPr>
        <w:pStyle w:val="Heading2"/>
      </w:pPr>
      <w:r>
        <w:t xml:space="preserve">7. Extensiones: mercado bilateral y competencia entre dos plataformas</w:t>
      </w:r>
    </w:p>
    <w:p>
      <w:pPr>
        <w:pStyle w:val="FirstParagraph"/>
      </w:pPr>
      <w:r>
        <w:t xml:space="preserve">En la sección 4 se señaló una limitación del modelo base. El enunciado describe un mercado bilateral (usuarios y comercios), pero la ecuación U = θ · (α · yᵉ) − P resume todo en una única externalidad agregada. Esta sección levanta esa simplificación en dos direcciones complementarias:</w:t>
      </w:r>
    </w:p>
    <w:p>
      <w:pPr>
        <w:numPr>
          <w:ilvl w:val="0"/>
          <w:numId w:val="8"/>
        </w:numPr>
        <w:pStyle w:val="Compact"/>
      </w:pPr>
      <w:r>
        <w:rPr>
          <w:bCs/>
          <w:b/>
        </w:rPr>
        <w:t xml:space="preserve">7.1</w:t>
      </w:r>
      <w:r>
        <w:t xml:space="preserve"> </w:t>
      </w:r>
      <w:r>
        <w:t xml:space="preserve">separa usuarios y comercios dentro de una misma plataforma (extensión bilateral).</w:t>
      </w:r>
    </w:p>
    <w:p>
      <w:pPr>
        <w:numPr>
          <w:ilvl w:val="0"/>
          <w:numId w:val="8"/>
        </w:numPr>
        <w:pStyle w:val="Compact"/>
      </w:pPr>
      <w:r>
        <w:rPr>
          <w:bCs/>
          <w:b/>
        </w:rPr>
        <w:t xml:space="preserve">7.2</w:t>
      </w:r>
      <w:r>
        <w:t xml:space="preserve"> </w:t>
      </w:r>
      <w:r>
        <w:t xml:space="preserve">mantiene un solo lado, pero introduce dos billeteras que compiten entre sí (competencia entre plataformas).</w:t>
      </w:r>
    </w:p>
    <w:p>
      <w:pPr>
        <w:pStyle w:val="FirstParagraph"/>
      </w:pPr>
      <w:r>
        <w:t xml:space="preserve">Se conservan los supuestos de las secciones 5 y 6: tipos uniformes en [0,1], expectativas autocumplidas y costo marginal nulo para la plataforma.</w:t>
      </w:r>
    </w:p>
    <w:bookmarkStart w:id="1" w:name="extensión-bilateral-usuarios-y-comercios"/>
    <w:p>
      <w:pPr>
        <w:pStyle w:val="Heading3"/>
      </w:pPr>
      <w:r>
        <w:t xml:space="preserve">7.1 Extensión bilateral: usuarios y comercios</w:t>
      </w:r>
    </w:p>
    <w:p>
      <w:pPr>
        <w:pStyle w:val="FirstParagraph"/>
      </w:pPr>
      <w:r>
        <w:rPr>
          <w:bCs/>
          <w:b/>
        </w:rPr>
        <w:t xml:space="preserve">Planteo.</w:t>
      </w:r>
      <w:r>
        <w:t xml:space="preserve"> </w:t>
      </w:r>
      <w:r>
        <w:t xml:space="preserve">Los usuarios tienen un tipo θ ~ U[0,1] (intensidad de uso) y los comercios un tipo φ ~ U[0,1] (intensidad de ventas que se cobran con medios digitales). Cada lado valora el tamaño esperado</w:t>
      </w:r>
      <w:r>
        <w:t xml:space="preserve"> </w:t>
      </w:r>
      <w:r>
        <w:rPr>
          <w:bCs/>
          <w:b/>
        </w:rPr>
        <w:t xml:space="preserve">del otro lado</w:t>
      </w:r>
      <w:r>
        <w:t xml:space="preserve">: es un efecto de red indirecto o cruzado (Rochet y Tirole, 2003; Armstrong, 2006).</w:t>
      </w:r>
    </w:p>
    <w:p>
      <w:pPr>
        <w:pStyle w:val="BodyText"/>
      </w:pPr>
      <w:r>
        <w:rPr>
          <w:bCs/>
          <w:b/>
        </w:rPr>
        <w:t xml:space="preserve">U = θ · (α</w:t>
      </w:r>
      <w:r>
        <w:rPr>
          <w:vertAlign w:val="subscript"/>
          <w:bCs/>
          <w:b/>
        </w:rPr>
        <w:t xml:space="preserve">u</w:t>
      </w:r>
      <w:r>
        <w:rPr>
          <w:bCs/>
          <w:b/>
        </w:rPr>
        <w:t xml:space="preserve"> </w:t>
      </w:r>
      <w:r>
        <w:rPr>
          <w:bCs/>
          <w:b/>
        </w:rPr>
        <w:t xml:space="preserve">· mᵉ) − P</w:t>
      </w:r>
      <w:r>
        <w:rPr>
          <w:vertAlign w:val="subscript"/>
          <w:bCs/>
          <w:b/>
        </w:rPr>
        <w:t xml:space="preserve">u</w:t>
      </w:r>
      <w:r>
        <w:t xml:space="preserve"> </w:t>
      </w:r>
      <w:r>
        <w:t xml:space="preserve">(usuarios)</w:t>
      </w:r>
    </w:p>
    <w:p>
      <w:pPr>
        <w:pStyle w:val="BodyText"/>
      </w:pPr>
      <w:r>
        <w:rPr>
          <w:bCs/>
          <w:b/>
        </w:rPr>
        <w:t xml:space="preserve">V = φ · (α</w:t>
      </w:r>
      <w:r>
        <w:rPr>
          <w:vertAlign w:val="subscript"/>
          <w:bCs/>
          <w:b/>
        </w:rPr>
        <w:t xml:space="preserve">c</w:t>
      </w:r>
      <w:r>
        <w:rPr>
          <w:bCs/>
          <w:b/>
        </w:rPr>
        <w:t xml:space="preserve"> </w:t>
      </w:r>
      <w:r>
        <w:rPr>
          <w:bCs/>
          <w:b/>
        </w:rPr>
        <w:t xml:space="preserve">· yᵉ) − P</w:t>
      </w:r>
      <w:r>
        <w:rPr>
          <w:vertAlign w:val="subscript"/>
          <w:bCs/>
          <w:b/>
        </w:rPr>
        <w:t xml:space="preserve">c</w:t>
      </w:r>
      <w:r>
        <w:t xml:space="preserve"> </w:t>
      </w:r>
      <w:r>
        <w:t xml:space="preserve">(comercios)</w:t>
      </w:r>
    </w:p>
    <w:p>
      <w:pPr>
        <w:pStyle w:val="BodyText"/>
      </w:pPr>
      <w:r>
        <w:t xml:space="preserve">Aquí y es la fracción de usuarios que adoptan y m la fracción de comercios que aceptan la billetera. α</w:t>
      </w:r>
      <w:r>
        <w:rPr>
          <w:vertAlign w:val="subscript"/>
        </w:rPr>
        <w:t xml:space="preserve">u</w:t>
      </w:r>
      <w:r>
        <w:t xml:space="preserve"> </w:t>
      </w:r>
      <w:r>
        <w:t xml:space="preserve">mide cuánto valoran los usuarios cada comercio adherido y α</w:t>
      </w:r>
      <w:r>
        <w:rPr>
          <w:vertAlign w:val="subscript"/>
        </w:rPr>
        <w:t xml:space="preserve">c</w:t>
      </w:r>
      <w:r>
        <w:t xml:space="preserve"> </w:t>
      </w:r>
      <w:r>
        <w:t xml:space="preserve">cuánto valoran los comercios cada usuario. P</w:t>
      </w:r>
      <w:r>
        <w:rPr>
          <w:vertAlign w:val="subscript"/>
        </w:rPr>
        <w:t xml:space="preserve">u</w:t>
      </w:r>
      <w:r>
        <w:t xml:space="preserve"> </w:t>
      </w:r>
      <w:r>
        <w:t xml:space="preserve">y P</w:t>
      </w:r>
      <w:r>
        <w:rPr>
          <w:vertAlign w:val="subscript"/>
        </w:rPr>
        <w:t xml:space="preserve">c</w:t>
      </w:r>
      <w:r>
        <w:t xml:space="preserve"> </w:t>
      </w:r>
      <w:r>
        <w:t xml:space="preserve">son los costos efectivos de adopción de cada lado.</w:t>
      </w:r>
    </w:p>
    <w:p>
      <w:pPr>
        <w:pStyle w:val="BodyText"/>
      </w:pPr>
      <w:r>
        <w:rPr>
          <w:bCs/>
          <w:b/>
        </w:rPr>
        <w:t xml:space="preserve">Consumidores y comercios marginales.</w:t>
      </w:r>
      <w:r>
        <w:t xml:space="preserve"> </w:t>
      </w:r>
      <w:r>
        <w:t xml:space="preserve">Igual que en 5.1, adopta quien obtiene utilidad no negativa:</w:t>
      </w:r>
    </w:p>
    <w:p>
      <w:pPr>
        <w:pStyle w:val="BodyText"/>
      </w:pPr>
      <w:r>
        <w:t xml:space="preserve">θ* = P</w:t>
      </w:r>
      <w:r>
        <w:rPr>
          <w:vertAlign w:val="subscript"/>
        </w:rPr>
        <w:t xml:space="preserve">u</w:t>
      </w:r>
      <w:r>
        <w:t xml:space="preserve"> </w:t>
      </w:r>
      <w:r>
        <w:t xml:space="preserve">/ (α</w:t>
      </w:r>
      <w:r>
        <w:rPr>
          <w:vertAlign w:val="subscript"/>
        </w:rPr>
        <w:t xml:space="preserve">u</w:t>
      </w:r>
      <w:r>
        <w:t xml:space="preserve"> </w:t>
      </w:r>
      <w:r>
        <w:t xml:space="preserve">· mᵉ) ⇒ y = 1 − P</w:t>
      </w:r>
      <w:r>
        <w:rPr>
          <w:vertAlign w:val="subscript"/>
        </w:rPr>
        <w:t xml:space="preserve">u</w:t>
      </w:r>
      <w:r>
        <w:t xml:space="preserve"> </w:t>
      </w:r>
      <w:r>
        <w:t xml:space="preserve">/ (α</w:t>
      </w:r>
      <w:r>
        <w:rPr>
          <w:vertAlign w:val="subscript"/>
        </w:rPr>
        <w:t xml:space="preserve">u</w:t>
      </w:r>
      <w:r>
        <w:t xml:space="preserve"> </w:t>
      </w:r>
      <w:r>
        <w:t xml:space="preserve">· mᵉ)</w:t>
      </w:r>
    </w:p>
    <w:p>
      <w:pPr>
        <w:pStyle w:val="BodyText"/>
      </w:pPr>
      <w:r>
        <w:t xml:space="preserve">φ* = P</w:t>
      </w:r>
      <w:r>
        <w:rPr>
          <w:vertAlign w:val="subscript"/>
        </w:rPr>
        <w:t xml:space="preserve">c</w:t>
      </w:r>
      <w:r>
        <w:t xml:space="preserve"> </w:t>
      </w:r>
      <w:r>
        <w:t xml:space="preserve">/ (α</w:t>
      </w:r>
      <w:r>
        <w:rPr>
          <w:vertAlign w:val="subscript"/>
        </w:rPr>
        <w:t xml:space="preserve">c</w:t>
      </w:r>
      <w:r>
        <w:t xml:space="preserve"> </w:t>
      </w:r>
      <w:r>
        <w:t xml:space="preserve">· yᵉ) ⇒ m = 1 − P</w:t>
      </w:r>
      <w:r>
        <w:rPr>
          <w:vertAlign w:val="subscript"/>
        </w:rPr>
        <w:t xml:space="preserve">c</w:t>
      </w:r>
      <w:r>
        <w:t xml:space="preserve"> </w:t>
      </w:r>
      <w:r>
        <w:t xml:space="preserve">/ (α</w:t>
      </w:r>
      <w:r>
        <w:rPr>
          <w:vertAlign w:val="subscript"/>
        </w:rPr>
        <w:t xml:space="preserve">c</w:t>
      </w:r>
      <w:r>
        <w:t xml:space="preserve"> </w:t>
      </w:r>
      <w:r>
        <w:t xml:space="preserve">· yᵉ)</w:t>
      </w:r>
    </w:p>
    <w:p>
      <w:pPr>
        <w:pStyle w:val="BodyText"/>
      </w:pPr>
      <w:r>
        <w:t xml:space="preserve">La adopción de cada lado depende de lo que se espera</w:t>
      </w:r>
      <w:r>
        <w:t xml:space="preserve"> </w:t>
      </w:r>
      <w:r>
        <w:rPr>
          <w:bCs/>
          <w:b/>
        </w:rPr>
        <w:t xml:space="preserve">del otro lado</w:t>
      </w:r>
      <w:r>
        <w:t xml:space="preserve">. Este es el problema del huevo y la gallina: sin comercios no hay usuarios, y sin usuarios no hay comercios.</w:t>
      </w:r>
    </w:p>
    <w:p>
      <w:pPr>
        <w:pStyle w:val="BodyText"/>
      </w:pPr>
      <w:r>
        <w:rPr>
          <w:bCs/>
          <w:b/>
        </w:rPr>
        <w:t xml:space="preserve">Equilibrios.</w:t>
      </w:r>
      <w:r>
        <w:t xml:space="preserve"> </w:t>
      </w:r>
      <w:r>
        <w:t xml:space="preserve">Con expectativas autocumplidas en ambos lados (yᵉ = y, mᵉ = m), y llamando a = P</w:t>
      </w:r>
      <w:r>
        <w:rPr>
          <w:vertAlign w:val="subscript"/>
        </w:rPr>
        <w:t xml:space="preserve">u</w:t>
      </w:r>
      <w:r>
        <w:t xml:space="preserve">/α</w:t>
      </w:r>
      <w:r>
        <w:rPr>
          <w:vertAlign w:val="subscript"/>
        </w:rPr>
        <w:t xml:space="preserve">u</w:t>
      </w:r>
      <w:r>
        <w:t xml:space="preserve"> </w:t>
      </w:r>
      <w:r>
        <w:t xml:space="preserve">y b = P</w:t>
      </w:r>
      <w:r>
        <w:rPr>
          <w:vertAlign w:val="subscript"/>
        </w:rPr>
        <w:t xml:space="preserve">c</w:t>
      </w:r>
      <w:r>
        <w:t xml:space="preserve">/α</w:t>
      </w:r>
      <w:r>
        <w:rPr>
          <w:vertAlign w:val="subscript"/>
        </w:rPr>
        <w:t xml:space="preserve">c</w:t>
      </w:r>
      <w:r>
        <w:t xml:space="preserve">, al reemplazar m en la ecuación de y se obtiene:</w:t>
      </w:r>
    </w:p>
    <w:p>
      <w:pPr>
        <w:pStyle w:val="BodyText"/>
      </w:pPr>
      <w:r>
        <w:rPr>
          <w:bCs/>
          <w:b/>
        </w:rPr>
        <w:t xml:space="preserve">y² − (1 + b − a) · y + b = 0,</w:t>
      </w:r>
      <w:r>
        <w:t xml:space="preserve"> </w:t>
      </w:r>
      <w:r>
        <w:t xml:space="preserve">con m = 1 − b / y</w:t>
      </w:r>
    </w:p>
    <w:p>
      <w:pPr>
        <w:pStyle w:val="BodyText"/>
      </w:pPr>
      <w:r>
        <w:t xml:space="preserve">Además, siempre existe el equilibrio sin adopción (y = m = 0).</w:t>
      </w:r>
    </w:p>
    <w:p>
      <w:pPr>
        <w:pStyle w:val="BodyText"/>
      </w:pPr>
      <w:r>
        <w:rPr>
          <w:iCs/>
          <w:i/>
        </w:rPr>
        <w:t xml:space="preserve">Caso simétrico</w:t>
      </w:r>
      <w:r>
        <w:t xml:space="preserve"> </w:t>
      </w:r>
      <w:r>
        <w:t xml:space="preserve">(α</w:t>
      </w:r>
      <w:r>
        <w:rPr>
          <w:vertAlign w:val="subscript"/>
        </w:rPr>
        <w:t xml:space="preserve">u</w:t>
      </w:r>
      <w:r>
        <w:t xml:space="preserve"> </w:t>
      </w:r>
      <w:r>
        <w:t xml:space="preserve">= α</w:t>
      </w:r>
      <w:r>
        <w:rPr>
          <w:vertAlign w:val="subscript"/>
        </w:rPr>
        <w:t xml:space="preserve">c</w:t>
      </w:r>
      <w:r>
        <w:t xml:space="preserve"> </w:t>
      </w:r>
      <w:r>
        <w:t xml:space="preserve">= 1, P</w:t>
      </w:r>
      <w:r>
        <w:rPr>
          <w:vertAlign w:val="subscript"/>
        </w:rPr>
        <w:t xml:space="preserve">u</w:t>
      </w:r>
      <w:r>
        <w:t xml:space="preserve"> </w:t>
      </w:r>
      <w:r>
        <w:t xml:space="preserve">=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0,16). La ecuación se reduce a y² − y + 0,16 = 0, la misma de la sección 5.2. Los equilibrios son (0; 0), (0,2; 0,2) y (0,8; 0,8).</w:t>
      </w:r>
      <w:r>
        <w:t xml:space="preserve"> </w:t>
      </w:r>
      <w:r>
        <w:rPr>
          <w:bCs/>
          <w:b/>
        </w:rPr>
        <w:t xml:space="preserve">El modelo de un solo lado es, entonces, el caso simétrico del modelo bilateral</w:t>
      </w:r>
      <w:r>
        <w:t xml:space="preserve">, lo que valida la forma reducida que usa el enunciado.</w:t>
      </w:r>
    </w:p>
    <w:p>
      <w:pPr>
        <w:pStyle w:val="BodyText"/>
      </w:pPr>
      <w:r>
        <w:rPr>
          <w:bCs/>
          <w:b/>
        </w:rPr>
        <w:t xml:space="preserve">Estabilidad.</w:t>
      </w:r>
      <w:r>
        <w:t xml:space="preserve"> </w:t>
      </w:r>
      <w:r>
        <w:t xml:space="preserve">Las expectativas se ajustan gradualmente hacia la adopción observada en cada lado. La matriz jacobiana del sistema es [[−1, a/m²], [b/y², −1]] y sus raíces son −1 ± √(ab)/(y·m). Un equilibrio es estable si</w:t>
      </w:r>
    </w:p>
    <w:p>
      <w:pPr>
        <w:pStyle w:val="BodyText"/>
      </w:pPr>
      <w:r>
        <w:rPr>
          <w:bCs/>
          <w:b/>
        </w:rPr>
        <w:t xml:space="preserve">√(a · b) &lt; y · m</w:t>
      </w:r>
    </w:p>
    <w:p>
      <w:pPr>
        <w:pStyle w:val="BodyText"/>
      </w:pPr>
      <w:r>
        <w:t xml:space="preserve">Es la versión bilateral de la condición</w:t>
      </w:r>
      <w:r>
        <w:t xml:space="preserve"> </w:t>
      </w:r>
      <w:r>
        <w:t xml:space="preserve">“</w:t>
      </w:r>
      <w:r>
        <w:t xml:space="preserve">pendiente menor que 1</w:t>
      </w:r>
      <w:r>
        <w:t xml:space="preserve">”</w:t>
      </w:r>
      <w:r>
        <w:t xml:space="preserve"> </w:t>
      </w:r>
      <w:r>
        <w:t xml:space="preserve">de la sección 5.2: ahora lo que importa es el</w:t>
      </w:r>
      <w:r>
        <w:t xml:space="preserve"> </w:t>
      </w:r>
      <w:r>
        <w:rPr>
          <w:bCs/>
          <w:b/>
        </w:rPr>
        <w:t xml:space="preserve">producto de las respuestas cruzadas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Equilibrio (y;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√(ab)/(y·m)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(0,2; 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(&gt;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Inestable: punto de silla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(0,8; 0,8)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 (&lt;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Masa crítica en dos dimensiones.</w:t>
      </w:r>
      <w:r>
        <w:t xml:space="preserve"> </w:t>
      </w:r>
      <w:r>
        <w:t xml:space="preserve">La masa crítica ya no es un número, sino una</w:t>
      </w:r>
      <w:r>
        <w:t xml:space="preserve"> </w:t>
      </w:r>
      <w:r>
        <w:rPr>
          <w:bCs/>
          <w:b/>
        </w:rPr>
        <w:t xml:space="preserve">frontera</w:t>
      </w:r>
      <w:r>
        <w:t xml:space="preserve"> </w:t>
      </w:r>
      <w:r>
        <w:t xml:space="preserve">en el plano (y; m) que pasa por el punto de silla (0,2; 0,2). Por encima de esa frontera la red despega; por debajo, colapsa (Gráfico 4). Dos consecuencias:</w:t>
      </w:r>
    </w:p>
    <w:p>
      <w:pPr>
        <w:numPr>
          <w:ilvl w:val="0"/>
          <w:numId w:val="9"/>
        </w:numPr>
        <w:pStyle w:val="Compact"/>
      </w:pPr>
      <w:r>
        <w:t xml:space="preserve">Alcanza con</w:t>
      </w:r>
      <w:r>
        <w:t xml:space="preserve"> </w:t>
      </w:r>
      <w:r>
        <w:t xml:space="preserve">“</w:t>
      </w:r>
      <w:r>
        <w:t xml:space="preserve">sembrar</w:t>
      </w:r>
      <w:r>
        <w:t xml:space="preserve">”</w:t>
      </w:r>
      <w:r>
        <w:t xml:space="preserve"> </w:t>
      </w:r>
      <w:r>
        <w:t xml:space="preserve">un solo lado si se lo siembra con fuerza. Con la dinámica de ajuste supuesta, si se parte sin comercios hacen falta alrededor del 37,5 % de usuarios para que la red despegue. Si se crece de forma equilibrada, alcanza con el 20 % de cada lado.</w:t>
      </w:r>
    </w:p>
    <w:p>
      <w:pPr>
        <w:numPr>
          <w:ilvl w:val="0"/>
          <w:numId w:val="9"/>
        </w:numPr>
        <w:pStyle w:val="Compact"/>
      </w:pPr>
      <w:r>
        <w:t xml:space="preserve">Este resultado justifica estrategias como regalar terminales o QR a los comercios y, a la vez, dar reintegros a los usuarios.</w:t>
      </w:r>
    </w:p>
    <w:p>
      <w:pPr>
        <w:pStyle w:val="FirstParagraph"/>
      </w:pPr>
      <w:r>
        <w:rPr>
          <w:iCs/>
          <w:i/>
        </w:rPr>
        <w:t xml:space="preserve">Gráfico 4. Diagrama de fases del modelo bilateral: curvas de respuesta de cada lado, equilibrios y zonas de atracción.</w:t>
      </w:r>
    </w:p>
    <w:p>
      <w:pPr>
        <w:pStyle w:val="BodyText"/>
      </w:pPr>
      <w:r>
        <w:drawing>
          <wp:inline>
            <wp:extent cx="5334000" cy="4667250"/>
            <wp:effectExtent b="0" l="0" r="0" t="0"/>
            <wp:docPr descr="" title="" id="4" name="Picture"/>
            <a:graphic>
              <a:graphicData uri="http://schemas.openxmlformats.org/drawingml/2006/picture">
                <pic:pic>
                  <pic:nvPicPr>
                    <pic:cNvPr descr="figuras/grafico4_bilateral_fases.png" id="4" name="Picture"/>
                    <pic:cNvPicPr>
                      <a:picLocks noChangeArrowheads="1"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Elaboración propia · P</w:t>
      </w:r>
      <w:r>
        <w:rPr>
          <w:vertAlign w:val="subscript"/>
        </w:rPr>
        <w:t xml:space="preserve">u</w:t>
      </w:r>
      <w:r>
        <w:t xml:space="preserve"> </w:t>
      </w:r>
      <w:r>
        <w:t xml:space="preserve">=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0,16; α</w:t>
      </w:r>
      <w:r>
        <w:rPr>
          <w:vertAlign w:val="subscript"/>
        </w:rPr>
        <w:t xml:space="preserve">u</w:t>
      </w:r>
      <w:r>
        <w:t xml:space="preserve"> </w:t>
      </w:r>
      <w:r>
        <w:t xml:space="preserve">= α</w:t>
      </w:r>
      <w:r>
        <w:rPr>
          <w:vertAlign w:val="subscript"/>
        </w:rPr>
        <w:t xml:space="preserve">c</w:t>
      </w:r>
      <w:r>
        <w:t xml:space="preserve"> </w:t>
      </w:r>
      <w:r>
        <w:t xml:space="preserve">= 1</w:t>
      </w:r>
    </w:p>
    <w:p>
      <w:pPr>
        <w:pStyle w:val="BodyText"/>
      </w:pPr>
      <w:r>
        <w:rPr>
          <w:bCs/>
          <w:b/>
        </w:rPr>
        <w:t xml:space="preserve">La estructura de precios importa.</w:t>
      </w:r>
      <w:r>
        <w:t xml:space="preserve"> </w:t>
      </w:r>
      <w:r>
        <w:t xml:space="preserve">La definición de Rochet y Tirole (2003) dice que un mercado es de dos lados si,</w:t>
      </w:r>
      <w:r>
        <w:t xml:space="preserve"> </w:t>
      </w:r>
      <w:r>
        <w:rPr>
          <w:bCs/>
          <w:b/>
        </w:rPr>
        <w:t xml:space="preserve">manteniendo fijo el precio total</w:t>
      </w:r>
      <w:r>
        <w:t xml:space="preserve">, cambiar cómo se reparte entre los lados cambia el volumen de transacciones. El modelo lo verifica. Con P</w:t>
      </w:r>
      <w:r>
        <w:rPr>
          <w:vertAlign w:val="subscript"/>
        </w:rPr>
        <w:t xml:space="preserve">u</w:t>
      </w:r>
      <w:r>
        <w:t xml:space="preserve"> </w:t>
      </w:r>
      <w:r>
        <w:t xml:space="preserve">+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0,32 fijo: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vertAlign w:val="subscript"/>
              </w:rPr>
              <w:t xml:space="preserve">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  <w:r>
              <w:rPr>
                <w:vertAlign w:val="subscript"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Equilibrio alto (y;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crítica (y;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Transacciones y·m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Ingreso de la plataforma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(0,80; 0,80)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(0,20; 0,20)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(0,89; 0,73)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(0,27; 0,11)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(0,94; 0,70)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(0,30; 0,06)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(1,00; 0,68)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(0,32;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0,680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0,218</w:t>
            </w:r>
          </w:p>
        </w:tc>
      </w:tr>
    </w:tbl>
    <w:p>
      <w:pPr>
        <w:pStyle w:val="BodyText"/>
      </w:pPr>
      <w:r>
        <w:t xml:space="preserve">Con el mismo precio total, cargar más a los comercios eleva la adopción de usuarios y el volumen de transacciones (Gráfico 5). Cuando la billetera es gratis para el usuario (P</w:t>
      </w:r>
      <w:r>
        <w:rPr>
          <w:vertAlign w:val="subscript"/>
        </w:rPr>
        <w:t xml:space="preserve">u</w:t>
      </w:r>
      <w:r>
        <w:t xml:space="preserve"> </w:t>
      </w:r>
      <w:r>
        <w:t xml:space="preserve">= 0), basta que haya algunos comercios para que todos los usuarios adopten. La coordinación queda concentrada del lado de los comercios, que necesitan esperar al menos un 32 % de usuarios.</w:t>
      </w:r>
    </w:p>
    <w:p>
      <w:pPr>
        <w:pStyle w:val="BodyText"/>
      </w:pPr>
      <w:r>
        <w:rPr>
          <w:iCs/>
          <w:i/>
        </w:rPr>
        <w:t xml:space="preserve">Gráfico 5. Adopción y transacciones en el equilibrio alto según el reparto del precio total.</w:t>
      </w:r>
    </w:p>
    <w:p>
      <w:pPr>
        <w:pStyle w:val="BodyText"/>
      </w:pPr>
      <w:r>
        <w:drawing>
          <wp:inline>
            <wp:extent cx="5334000" cy="3667125"/>
            <wp:effectExtent b="0" l="0" r="0" t="0"/>
            <wp:docPr descr="" title="" id="5" name="Picture"/>
            <a:graphic>
              <a:graphicData uri="http://schemas.openxmlformats.org/drawingml/2006/picture">
                <pic:pic>
                  <pic:nvPicPr>
                    <pic:cNvPr descr="figuras/grafico5_estructura_precios.png" id="5" name="Picture"/>
                    <pic:cNvPicPr>
                      <a:picLocks noChangeArrowheads="1"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Elaboración propia · P</w:t>
      </w:r>
      <w:r>
        <w:rPr>
          <w:vertAlign w:val="subscript"/>
        </w:rPr>
        <w:t xml:space="preserve">u</w:t>
      </w:r>
      <w:r>
        <w:t xml:space="preserve"> </w:t>
      </w:r>
      <w:r>
        <w:t xml:space="preserve">+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0,32; α</w:t>
      </w:r>
      <w:r>
        <w:rPr>
          <w:vertAlign w:val="subscript"/>
        </w:rPr>
        <w:t xml:space="preserve">u</w:t>
      </w:r>
      <w:r>
        <w:t xml:space="preserve"> </w:t>
      </w:r>
      <w:r>
        <w:t xml:space="preserve">= α</w:t>
      </w:r>
      <w:r>
        <w:rPr>
          <w:vertAlign w:val="subscript"/>
        </w:rPr>
        <w:t xml:space="preserve">c</w:t>
      </w:r>
      <w:r>
        <w:t xml:space="preserve"> </w:t>
      </w:r>
      <w:r>
        <w:t xml:space="preserve">= 1</w:t>
      </w:r>
    </w:p>
    <w:p>
      <w:pPr>
        <w:pStyle w:val="BodyText"/>
      </w:pPr>
      <w:r>
        <w:rPr>
          <w:bCs/>
          <w:b/>
        </w:rPr>
        <w:t xml:space="preserve">La plataforma monopolista elige la estructura.</w:t>
      </w:r>
      <w:r>
        <w:t xml:space="preserve"> </w:t>
      </w:r>
      <w:r>
        <w:t xml:space="preserve">Se extiende la sección 6 al caso bilateral. La plataforma, con costo marginal nulo, elige (P</w:t>
      </w:r>
      <w:r>
        <w:rPr>
          <w:vertAlign w:val="subscript"/>
        </w:rPr>
        <w:t xml:space="preserve">u</w:t>
      </w:r>
      <w:r>
        <w:t xml:space="preserve">; P</w:t>
      </w:r>
      <w:r>
        <w:rPr>
          <w:vertAlign w:val="subscript"/>
        </w:rPr>
        <w:t xml:space="preserve">c</w:t>
      </w:r>
      <w:r>
        <w:t xml:space="preserve">) para maximizar π = P</w:t>
      </w:r>
      <w:r>
        <w:rPr>
          <w:vertAlign w:val="subscript"/>
        </w:rPr>
        <w:t xml:space="preserve">u</w:t>
      </w:r>
      <w:r>
        <w:t xml:space="preserve"> </w:t>
      </w:r>
      <w:r>
        <w:t xml:space="preserve">· y + P</w:t>
      </w:r>
      <w:r>
        <w:rPr>
          <w:vertAlign w:val="subscript"/>
        </w:rPr>
        <w:t xml:space="preserve">c</w:t>
      </w:r>
      <w:r>
        <w:t xml:space="preserve"> </w:t>
      </w:r>
      <w:r>
        <w:t xml:space="preserve">· m en el equilibrio alto:</w:t>
      </w:r>
    </w:p>
    <w:p>
      <w:pPr>
        <w:numPr>
          <w:ilvl w:val="0"/>
          <w:numId w:val="10"/>
        </w:numPr>
        <w:pStyle w:val="Compact"/>
      </w:pPr>
      <w:r>
        <w:rPr>
          <w:iCs/>
          <w:i/>
        </w:rPr>
        <w:t xml:space="preserve">Lados simétricos</w:t>
      </w:r>
      <w:r>
        <w:t xml:space="preserve"> </w:t>
      </w:r>
      <w:r>
        <w:t xml:space="preserve">(α</w:t>
      </w:r>
      <w:r>
        <w:rPr>
          <w:vertAlign w:val="subscript"/>
        </w:rPr>
        <w:t xml:space="preserve">u</w:t>
      </w:r>
      <w:r>
        <w:t xml:space="preserve"> </w:t>
      </w:r>
      <w:r>
        <w:t xml:space="preserve">= α</w:t>
      </w:r>
      <w:r>
        <w:rPr>
          <w:vertAlign w:val="subscript"/>
        </w:rPr>
        <w:t xml:space="preserve">c</w:t>
      </w:r>
      <w:r>
        <w:t xml:space="preserve"> </w:t>
      </w:r>
      <w:r>
        <w:t xml:space="preserve">= 1): P</w:t>
      </w:r>
      <w:r>
        <w:rPr>
          <w:vertAlign w:val="subscript"/>
        </w:rPr>
        <w:t xml:space="preserve">u</w:t>
      </w:r>
      <w:r>
        <w:t xml:space="preserve"> </w:t>
      </w:r>
      <w:r>
        <w:t xml:space="preserve">= P</w:t>
      </w:r>
      <w:r>
        <w:rPr>
          <w:vertAlign w:val="subscript"/>
        </w:rPr>
        <w:t xml:space="preserve">c</w:t>
      </w:r>
      <w:r>
        <w:t xml:space="preserve"> </w:t>
      </w:r>
      <w:r>
        <w:t xml:space="preserve">= 2/9 ≈ 0,222, y = m = 2/3 y π = 8/27 ≈ 0,296. Es exactamente el doble del resultado de la sección 6, porque cada lado reproduce el monopolio de un lado. Sirve como control de consistencia.</w:t>
      </w:r>
    </w:p>
    <w:p>
      <w:pPr>
        <w:numPr>
          <w:ilvl w:val="0"/>
          <w:numId w:val="10"/>
        </w:numPr>
        <w:pStyle w:val="Compact"/>
      </w:pPr>
      <w:r>
        <w:rPr>
          <w:iCs/>
          <w:i/>
        </w:rPr>
        <w:t xml:space="preserve">Lados asimétricos</w:t>
      </w:r>
      <w:r>
        <w:t xml:space="preserve"> </w:t>
      </w:r>
      <w:r>
        <w:t xml:space="preserve">(α</w:t>
      </w:r>
      <w:r>
        <w:rPr>
          <w:vertAlign w:val="subscript"/>
        </w:rPr>
        <w:t xml:space="preserve">u</w:t>
      </w:r>
      <w:r>
        <w:t xml:space="preserve"> </w:t>
      </w:r>
      <w:r>
        <w:t xml:space="preserve">= 1, α</w:t>
      </w:r>
      <w:r>
        <w:rPr>
          <w:vertAlign w:val="subscript"/>
        </w:rPr>
        <w:t xml:space="preserve">c</w:t>
      </w:r>
      <w:r>
        <w:t xml:space="preserve"> </w:t>
      </w:r>
      <w:r>
        <w:t xml:space="preserve">= 2: cada usuario adicional le vale más al comercio, por las ventas que le trae, que cada comercio adicional al usuario): el óptimo es</w:t>
      </w:r>
      <w:r>
        <w:t xml:space="preserve"> </w:t>
      </w:r>
      <w:r>
        <w:rPr>
          <w:bCs/>
          <w:b/>
        </w:rPr>
        <w:t xml:space="preserve">P</w:t>
      </w:r>
      <w:r>
        <w:rPr>
          <w:vertAlign w:val="subscript"/>
          <w:bCs/>
          <w:b/>
        </w:rPr>
        <w:t xml:space="preserve">u</w:t>
      </w:r>
      <w:r>
        <w:rPr>
          <w:bCs/>
          <w:b/>
        </w:rPr>
        <w:t xml:space="preserve"> </w:t>
      </w:r>
      <w:r>
        <w:rPr>
          <w:bCs/>
          <w:b/>
        </w:rPr>
        <w:t xml:space="preserve">= 0 y P</w:t>
      </w:r>
      <w:r>
        <w:rPr>
          <w:vertAlign w:val="subscript"/>
          <w:bCs/>
          <w:b/>
        </w:rPr>
        <w:t xml:space="preserve">c</w:t>
      </w:r>
      <w:r>
        <w:rPr>
          <w:bCs/>
          <w:b/>
        </w:rPr>
        <w:t xml:space="preserve"> </w:t>
      </w:r>
      <w:r>
        <w:rPr>
          <w:bCs/>
          <w:b/>
        </w:rPr>
        <w:t xml:space="preserve">= 1</w:t>
      </w:r>
      <w:r>
        <w:t xml:space="preserve">, con y = 1, m = 0,5 y π = 0,5. Con P</w:t>
      </w:r>
      <w:r>
        <w:rPr>
          <w:vertAlign w:val="subscript"/>
        </w:rPr>
        <w:t xml:space="preserve">u</w:t>
      </w:r>
      <w:r>
        <w:t xml:space="preserve"> </w:t>
      </w:r>
      <w:r>
        <w:t xml:space="preserve">= 0 todos los usuarios adoptan, de modo que los comercios enfrentan m = 1 − P</w:t>
      </w:r>
      <w:r>
        <w:rPr>
          <w:vertAlign w:val="subscript"/>
        </w:rPr>
        <w:t xml:space="preserve">c</w:t>
      </w:r>
      <w:r>
        <w:t xml:space="preserve">/2 y la plataforma maximiza P</w:t>
      </w:r>
      <w:r>
        <w:rPr>
          <w:vertAlign w:val="subscript"/>
        </w:rPr>
        <w:t xml:space="preserve">c</w:t>
      </w:r>
      <w:r>
        <w:t xml:space="preserve"> </w:t>
      </w:r>
      <w:r>
        <w:t xml:space="preserve">· (1 − P</w:t>
      </w:r>
      <w:r>
        <w:rPr>
          <w:vertAlign w:val="subscript"/>
        </w:rPr>
        <w:t xml:space="preserve">c</w:t>
      </w:r>
      <w:r>
        <w:t xml:space="preserve">/2).</w:t>
      </w:r>
    </w:p>
    <w:p>
      <w:pPr>
        <w:pStyle w:val="FirstParagraph"/>
      </w:pPr>
      <w:r>
        <w:t xml:space="preserve">Este último resultado es la regla de Rochet y Tirole vista en la Unidad 9:</w:t>
      </w:r>
      <w:r>
        <w:t xml:space="preserve"> </w:t>
      </w:r>
      <w:r>
        <w:rPr>
          <w:bCs/>
          <w:b/>
        </w:rPr>
        <w:t xml:space="preserve">se le cobra menos (incluso cero) al lado cuya presencia vale más para el otro y se recauda del lado que más se beneficia</w:t>
      </w:r>
      <w:r>
        <w:t xml:space="preserve">. Es la estructura observada en las billeteras: la aplicación es gratuita y con reintegros para el usuario, y el comercio paga una comisión por cobro. Esa asimetría no implica por sí misma abuso de poder de mercado: es la forma eficiente de resolver el huevo y la gallina.</w:t>
      </w:r>
    </w:p>
    <w:bookmarkEnd w:id="0"/>
    <w:bookmarkStart w:id="2" w:name="competencia-entre-dos-plataformas"/>
    <w:p>
      <w:pPr>
        <w:pStyle w:val="Heading3"/>
      </w:pPr>
      <w:r>
        <w:t xml:space="preserve">7.2 Competencia entre dos plataformas</w:t>
      </w:r>
    </w:p>
    <w:p>
      <w:pPr>
        <w:pStyle w:val="FirstParagraph"/>
      </w:pPr>
      <w:r>
        <w:rPr>
          <w:bCs/>
          <w:b/>
        </w:rPr>
        <w:t xml:space="preserve">Planteo.</w:t>
      </w:r>
      <w:r>
        <w:t xml:space="preserve"> </w:t>
      </w:r>
      <w:r>
        <w:t xml:space="preserve">Hay dos billeteras, A (incumbente, por ejemplo Mercado Pago) y B (entrante o rival, por ejemplo MODO). Se vuelve al modelo de un lado. Cada consumidor usa a lo sumo una billetera (</w:t>
      </w:r>
      <w:r>
        <w:rPr>
          <w:iCs/>
          <w:i/>
        </w:rPr>
        <w:t xml:space="preserve">single-homing</w:t>
      </w:r>
      <w:r>
        <w:t xml:space="preserve">) y elige la que le da mayor utilidad, o ninguna:</w:t>
      </w:r>
    </w:p>
    <w:p>
      <w:pPr>
        <w:pStyle w:val="BodyText"/>
      </w:pP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i</w:t>
      </w:r>
      <w:r>
        <w:rPr>
          <w:bCs/>
          <w:b/>
        </w:rPr>
        <w:t xml:space="preserve"> </w:t>
      </w:r>
      <w:r>
        <w:rPr>
          <w:bCs/>
          <w:b/>
        </w:rPr>
        <w:t xml:space="preserve">= θ · α · (y</w:t>
      </w:r>
      <w:r>
        <w:rPr>
          <w:vertAlign w:val="subscript"/>
          <w:bCs/>
          <w:b/>
        </w:rPr>
        <w:t xml:space="preserve">i</w:t>
      </w:r>
      <w:r>
        <w:rPr>
          <w:bCs/>
          <w:b/>
        </w:rPr>
        <w:t xml:space="preserve">ᵉ + β · y</w:t>
      </w:r>
      <w:r>
        <w:rPr>
          <w:vertAlign w:val="subscript"/>
          <w:bCs/>
          <w:b/>
        </w:rPr>
        <w:t xml:space="preserve">j</w:t>
      </w:r>
      <w:r>
        <w:rPr>
          <w:bCs/>
          <w:b/>
        </w:rPr>
        <w:t xml:space="preserve">ᵉ) − P</w:t>
      </w:r>
      <w:r>
        <w:rPr>
          <w:vertAlign w:val="subscript"/>
          <w:bCs/>
          <w:b/>
        </w:rPr>
        <w:t xml:space="preserve">i</w:t>
      </w:r>
      <w:r>
        <w:rPr>
          <w:bCs/>
          <w:b/>
        </w:rPr>
        <w:t xml:space="preserve">,</w:t>
      </w:r>
      <w:r>
        <w:t xml:space="preserve"> </w:t>
      </w:r>
      <w:r>
        <w:t xml:space="preserve">i, j ∈ {A, B}</w:t>
      </w:r>
    </w:p>
    <w:p>
      <w:pPr>
        <w:pStyle w:val="BodyText"/>
      </w:pPr>
      <w:r>
        <w:t xml:space="preserve">El parámetro</w:t>
      </w:r>
      <w:r>
        <w:t xml:space="preserve"> </w:t>
      </w:r>
      <w:r>
        <w:rPr>
          <w:bCs/>
          <w:b/>
        </w:rPr>
        <w:t xml:space="preserve">β ∈ [0,1] mide el grado de interoperabilidad</w:t>
      </w:r>
      <w:r>
        <w:t xml:space="preserve">:</w:t>
      </w:r>
    </w:p>
    <w:p>
      <w:pPr>
        <w:numPr>
          <w:ilvl w:val="0"/>
          <w:numId w:val="11"/>
        </w:numPr>
        <w:pStyle w:val="Compact"/>
      </w:pPr>
      <w:r>
        <w:t xml:space="preserve">β = 0: las redes son islas incompatibles; cada usuario solo aprovecha la red de su billetera.</w:t>
      </w:r>
    </w:p>
    <w:p>
      <w:pPr>
        <w:numPr>
          <w:ilvl w:val="0"/>
          <w:numId w:val="11"/>
        </w:numPr>
        <w:pStyle w:val="Compact"/>
      </w:pPr>
      <w:r>
        <w:t xml:space="preserve">β = 1: interoperabilidad plena, como un QR que acepta cualquier billetera; la red relevante es la total.</w:t>
      </w:r>
    </w:p>
    <w:p>
      <w:pPr>
        <w:pStyle w:val="FirstParagraph"/>
      </w:pPr>
      <w:r>
        <w:rPr>
          <w:bCs/>
          <w:b/>
        </w:rPr>
        <w:t xml:space="preserve">Ventaja de red.</w:t>
      </w:r>
      <w:r>
        <w:t xml:space="preserve"> </w:t>
      </w:r>
      <w:r>
        <w:t xml:space="preserve">La diferencia de utilidad entre las dos billeteras es:</w:t>
      </w:r>
    </w:p>
    <w:p>
      <w:pPr>
        <w:pStyle w:val="BodyText"/>
      </w:pPr>
      <w:r>
        <w:rPr>
          <w:bCs/>
          <w:b/>
        </w:rPr>
        <w:t xml:space="preserve">U</w:t>
      </w:r>
      <w:r>
        <w:rPr>
          <w:vertAlign w:val="subscript"/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− U</w:t>
      </w:r>
      <w:r>
        <w:rPr>
          <w:vertAlign w:val="subscript"/>
          <w:bCs/>
          <w:b/>
        </w:rPr>
        <w:t xml:space="preserve">B</w:t>
      </w:r>
      <w:r>
        <w:rPr>
          <w:bCs/>
          <w:b/>
        </w:rPr>
        <w:t xml:space="preserve"> </w:t>
      </w:r>
      <w:r>
        <w:rPr>
          <w:bCs/>
          <w:b/>
        </w:rPr>
        <w:t xml:space="preserve">= θ · α · (1 − β) · (y</w:t>
      </w:r>
      <w:r>
        <w:rPr>
          <w:vertAlign w:val="subscript"/>
          <w:bCs/>
          <w:b/>
        </w:rPr>
        <w:t xml:space="preserve">A</w:t>
      </w:r>
      <w:r>
        <w:rPr>
          <w:bCs/>
          <w:b/>
        </w:rPr>
        <w:t xml:space="preserve">ᵉ − y</w:t>
      </w:r>
      <w:r>
        <w:rPr>
          <w:vertAlign w:val="subscript"/>
          <w:bCs/>
          <w:b/>
        </w:rPr>
        <w:t xml:space="preserve">B</w:t>
      </w:r>
      <w:r>
        <w:rPr>
          <w:bCs/>
          <w:b/>
        </w:rPr>
        <w:t xml:space="preserve">ᵉ) − (P</w:t>
      </w:r>
      <w:r>
        <w:rPr>
          <w:vertAlign w:val="subscript"/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− P</w:t>
      </w:r>
      <w:r>
        <w:rPr>
          <w:vertAlign w:val="subscript"/>
          <w:bCs/>
          <w:b/>
        </w:rPr>
        <w:t xml:space="preserve">B</w:t>
      </w:r>
      <w:r>
        <w:rPr>
          <w:bCs/>
          <w:b/>
        </w:rPr>
        <w:t xml:space="preserve">)</w:t>
      </w:r>
    </w:p>
    <w:p>
      <w:pPr>
        <w:pStyle w:val="BodyText"/>
      </w:pPr>
      <w:r>
        <w:t xml:space="preserve">La billetera más grande tiene una ventaja que crece con la diferencia de tamaño y con la intensidad del efecto de red, y</w:t>
      </w:r>
      <w:r>
        <w:t xml:space="preserve"> </w:t>
      </w:r>
      <w:r>
        <w:rPr>
          <w:bCs/>
          <w:b/>
        </w:rPr>
        <w:t xml:space="preserve">que la interoperabilidad reduce en la proporción (1 − β)</w:t>
      </w:r>
      <w:r>
        <w:t xml:space="preserve">. Con β = 1 la ventaja desaparece y solo importa el precio.</w:t>
      </w:r>
    </w:p>
    <w:p>
      <w:pPr>
        <w:pStyle w:val="BodyText"/>
      </w:pPr>
      <w:r>
        <w:rPr>
          <w:bCs/>
          <w:b/>
        </w:rPr>
        <w:t xml:space="preserve">(a) Sin interoperabilidad, el mercado se inclina hacia una sola billetera (</w:t>
      </w:r>
      <w:r>
        <w:rPr>
          <w:iCs/>
          <w:i/>
          <w:bCs/>
          <w:b/>
        </w:rPr>
        <w:t xml:space="preserve">tipping</w:t>
      </w:r>
      <w:r>
        <w:rPr>
          <w:bCs/>
          <w:b/>
        </w:rPr>
        <w:t xml:space="preserve">).</w:t>
      </w:r>
      <w:r>
        <w:t xml:space="preserve"> </w:t>
      </w:r>
      <w:r>
        <w:t xml:space="preserve">Con β = 0 y precios iguales (P = 0,16), cada consumidor elige la red que espera más grande. Los equilibrios estables son:</w:t>
      </w:r>
    </w:p>
    <w:p>
      <w:pPr>
        <w:numPr>
          <w:ilvl w:val="0"/>
          <w:numId w:val="12"/>
        </w:numPr>
        <w:pStyle w:val="Compact"/>
      </w:pPr>
      <w:r>
        <w:t xml:space="preserve">todos en A: (y</w:t>
      </w:r>
      <w:r>
        <w:rPr>
          <w:vertAlign w:val="subscript"/>
        </w:rPr>
        <w:t xml:space="preserve">A</w:t>
      </w:r>
      <w:r>
        <w:t xml:space="preserve">; y</w:t>
      </w:r>
      <w:r>
        <w:rPr>
          <w:vertAlign w:val="subscript"/>
        </w:rPr>
        <w:t xml:space="preserve">B</w:t>
      </w:r>
      <w:r>
        <w:t xml:space="preserve">) = (0,8; 0);</w:t>
      </w:r>
    </w:p>
    <w:p>
      <w:pPr>
        <w:numPr>
          <w:ilvl w:val="0"/>
          <w:numId w:val="12"/>
        </w:numPr>
        <w:pStyle w:val="Compact"/>
      </w:pPr>
      <w:r>
        <w:t xml:space="preserve">todos en B: (0; 0,8);</w:t>
      </w:r>
    </w:p>
    <w:p>
      <w:pPr>
        <w:numPr>
          <w:ilvl w:val="0"/>
          <w:numId w:val="12"/>
        </w:numPr>
        <w:pStyle w:val="Compact"/>
      </w:pPr>
      <w:r>
        <w:t xml:space="preserve">nadie adopta: (0; 0).</w:t>
      </w:r>
    </w:p>
    <w:p>
      <w:pPr>
        <w:pStyle w:val="FirstParagraph"/>
      </w:pPr>
      <w:r>
        <w:t xml:space="preserve">¿Podrían convivir con la mitad del mercado cada una? En un reparto simétrico y</w:t>
      </w:r>
      <w:r>
        <w:rPr>
          <w:vertAlign w:val="subscript"/>
        </w:rPr>
        <w:t xml:space="preserve">A</w:t>
      </w:r>
      <w:r>
        <w:t xml:space="preserve"> </w:t>
      </w:r>
      <w:r>
        <w:t xml:space="preserve">= y</w:t>
      </w:r>
      <w:r>
        <w:rPr>
          <w:vertAlign w:val="subscript"/>
        </w:rPr>
        <w:t xml:space="preserve">B</w:t>
      </w:r>
      <w:r>
        <w:t xml:space="preserve"> </w:t>
      </w:r>
      <w:r>
        <w:t xml:space="preserve">= y, cada red vale α(1 + β)y. Con la misma lógica de la sección 5:</w:t>
      </w:r>
    </w:p>
    <w:p>
      <w:pPr>
        <w:pStyle w:val="BodyText"/>
      </w:pPr>
      <w:r>
        <w:rPr>
          <w:bCs/>
          <w:b/>
        </w:rPr>
        <w:t xml:space="preserve">2y² − y + P/(α(1 + β)) = 0 ⇒ y = [1 ± √(1 − 8P/(α(1 + β)))] /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Interoperabilidad 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¿Existe el reparto?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billetera (equilibrio alto)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Masa crítica de cada 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  <w:r>
              <w:t xml:space="preserve"> </w:t>
            </w:r>
            <w:r>
              <w:t xml:space="preserve">(1 − 8 × 0,16 &lt;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Justo en el 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0,40 (total 0,80)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0,10 (total 0,20)</w:t>
            </w:r>
          </w:p>
        </w:tc>
      </w:tr>
    </w:tbl>
    <w:p>
      <w:pPr>
        <w:pStyle w:val="BodyText"/>
      </w:pPr>
      <w:r>
        <w:t xml:space="preserve">Con redes incompatibles,</w:t>
      </w:r>
      <w:r>
        <w:t xml:space="preserve"> </w:t>
      </w:r>
      <w:r>
        <w:rPr>
          <w:bCs/>
          <w:b/>
        </w:rPr>
        <w:t xml:space="preserve">la mitad del mercado no alcanza para sostener una red</w:t>
      </w:r>
      <w:r>
        <w:t xml:space="preserve">: cada mitad queda por debajo de su propia masa crítica. La coexistencia exige al menos β ≥ 8P/α − 1 = 0,28. Además, con β &lt; 1 el reparto es frágil: si una billetera toma una ventaja mínima, la diferencia de utilidad favorece a la más grande y el mercado se inclina hacia ella. Solo la diferenciación de producto (Hotelling, Unidad 7) o el uso de varias billeteras a la vez (</w:t>
      </w:r>
      <w:r>
        <w:rPr>
          <w:iCs/>
          <w:i/>
        </w:rPr>
        <w:t xml:space="preserve">multihoming</w:t>
      </w:r>
      <w:r>
        <w:t xml:space="preserve">) pueden sostener la convivencia con baja interoperabilidad.</w:t>
      </w:r>
    </w:p>
    <w:p>
      <w:pPr>
        <w:pStyle w:val="BodyText"/>
      </w:pPr>
      <w:r>
        <w:rPr>
          <w:bCs/>
          <w:b/>
        </w:rPr>
        <w:t xml:space="preserve">(b) El costo de entrar contra un incumbente.</w:t>
      </w:r>
      <w:r>
        <w:t xml:space="preserve"> </w:t>
      </w:r>
      <w:r>
        <w:t xml:space="preserve">Se supone que A ya tiene y</w:t>
      </w:r>
      <w:r>
        <w:rPr>
          <w:vertAlign w:val="subscript"/>
        </w:rPr>
        <w:t xml:space="preserve">A</w:t>
      </w:r>
      <w:r>
        <w:t xml:space="preserve"> </w:t>
      </w:r>
      <w:r>
        <w:t xml:space="preserve">= 0,8 y cobra P</w:t>
      </w:r>
      <w:r>
        <w:rPr>
          <w:vertAlign w:val="subscript"/>
        </w:rPr>
        <w:t xml:space="preserve">A</w:t>
      </w:r>
      <w:r>
        <w:t xml:space="preserve"> </w:t>
      </w:r>
      <w:r>
        <w:t xml:space="preserve">= 0,16, y que nadie espera que B tenga usuarios (y</w:t>
      </w:r>
      <w:r>
        <w:rPr>
          <w:vertAlign w:val="subscript"/>
        </w:rPr>
        <w:t xml:space="preserve">B</w:t>
      </w:r>
      <w:r>
        <w:t xml:space="preserve">ᵉ = 0). El usuario más intensivo (θ = 1) se pasa a B solo si:</w:t>
      </w:r>
    </w:p>
    <w:p>
      <w:pPr>
        <w:pStyle w:val="BodyText"/>
      </w:pPr>
      <w:r>
        <w:rPr>
          <w:bCs/>
          <w:b/>
        </w:rPr>
        <w:t xml:space="preserve">P</w:t>
      </w:r>
      <w:r>
        <w:rPr>
          <w:vertAlign w:val="subscript"/>
          <w:bCs/>
          <w:b/>
        </w:rPr>
        <w:t xml:space="preserve">B</w:t>
      </w:r>
      <w:r>
        <w:rPr>
          <w:bCs/>
          <w:b/>
        </w:rPr>
        <w:t xml:space="preserve"> </w:t>
      </w:r>
      <w:r>
        <w:rPr>
          <w:bCs/>
          <w:b/>
        </w:rPr>
        <w:t xml:space="preserve">≤ 0,16 − 0,8 · α · (1 − β)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Precio máximo de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debe</w:t>
            </w:r>
            <w:r>
              <w:t xml:space="preserve"> </w:t>
            </w:r>
            <w:r>
              <w:rPr>
                <w:iCs/>
                <w:i/>
              </w:rPr>
              <w:t xml:space="preserve">pagarle</w:t>
            </w:r>
            <w:r>
              <w:t xml:space="preserve"> </w:t>
            </w:r>
            <w:r>
              <w:t xml:space="preserve">al usuario 4 veces el costo de adopción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−0,24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Sigue siendo necesario un subsidio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0,8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Alcanza con ser gratis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Basta igualar el precio del incumbente</w:t>
            </w:r>
          </w:p>
        </w:tc>
      </w:tr>
    </w:tbl>
    <w:p>
      <w:pPr>
        <w:pStyle w:val="BodyText"/>
      </w:pPr>
      <w:r>
        <w:t xml:space="preserve">Sin interoperabilidad,</w:t>
      </w:r>
      <w:r>
        <w:t xml:space="preserve"> </w:t>
      </w:r>
      <w:r>
        <w:t xml:space="preserve">“</w:t>
      </w:r>
      <w:r>
        <w:t xml:space="preserve">comprar</w:t>
      </w:r>
      <w:r>
        <w:t xml:space="preserve">”</w:t>
      </w:r>
      <w:r>
        <w:t xml:space="preserve"> </w:t>
      </w:r>
      <w:r>
        <w:t xml:space="preserve">la red del incumbente cuesta, en el peor escenario de expectativas, alrededor de 0,64 × 0,8 ≈ 0,51. Una vez lograda la red, el beneficio por período es 0,16 × 0,8 = 0,128. Con un factor de descuento δ, la entrada es rentable solo si 0,128 · δ/(1 − δ) ≥ 0,51, es decir, si</w:t>
      </w:r>
      <w:r>
        <w:t xml:space="preserve"> </w:t>
      </w:r>
      <w:r>
        <w:rPr>
          <w:bCs/>
          <w:b/>
        </w:rPr>
        <w:t xml:space="preserve">δ ≥ 0,8</w:t>
      </w:r>
      <w:r>
        <w:t xml:space="preserve">, y eso sin contar la reacción del incumbente. Esto explica las</w:t>
      </w:r>
      <w:r>
        <w:t xml:space="preserve"> </w:t>
      </w:r>
      <w:r>
        <w:rPr>
          <w:bCs/>
          <w:b/>
        </w:rPr>
        <w:t xml:space="preserve">guerras de subsidios</w:t>
      </w:r>
      <w:r>
        <w:t xml:space="preserve"> </w:t>
      </w:r>
      <w:r>
        <w:t xml:space="preserve">de la fase de captura de usuarios. También plantea la discusión de la Unidad 6: ¿precio de penetración o precio predatorio? (Gráfico 6).</w:t>
      </w:r>
    </w:p>
    <w:p>
      <w:pPr>
        <w:pStyle w:val="BodyText"/>
      </w:pPr>
      <w:r>
        <w:rPr>
          <w:iCs/>
          <w:i/>
        </w:rPr>
        <w:t xml:space="preserve">Gráfico 6. Precio máximo que puede cobrar un entrante según el grado de interoperabilidad.</w:t>
      </w:r>
    </w:p>
    <w:p>
      <w:pPr>
        <w:pStyle w:val="BodyText"/>
      </w:pPr>
      <w:r>
        <w:drawing>
          <wp:inline>
            <wp:extent cx="5334000" cy="3667125"/>
            <wp:effectExtent b="0" l="0" r="0" t="0"/>
            <wp:docPr descr="" title="" id="6" name="Picture"/>
            <a:graphic>
              <a:graphicData uri="http://schemas.openxmlformats.org/drawingml/2006/picture">
                <pic:pic>
                  <pic:nvPicPr>
                    <pic:cNvPr descr="figuras/grafico6_interoperabilidad.png" id="6" name="Picture"/>
                    <pic:cNvPicPr>
                      <a:picLocks noChangeArrowheads="1"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Elaboración propia · y</w:t>
      </w:r>
      <w:r>
        <w:rPr>
          <w:vertAlign w:val="subscript"/>
        </w:rPr>
        <w:t xml:space="preserve">A</w:t>
      </w:r>
      <w:r>
        <w:t xml:space="preserve"> </w:t>
      </w:r>
      <w:r>
        <w:t xml:space="preserve">= 0,8, y</w:t>
      </w:r>
      <w:r>
        <w:rPr>
          <w:vertAlign w:val="subscript"/>
        </w:rPr>
        <w:t xml:space="preserve">B</w:t>
      </w:r>
      <w:r>
        <w:t xml:space="preserve">ᵉ = 0, P</w:t>
      </w:r>
      <w:r>
        <w:rPr>
          <w:vertAlign w:val="subscript"/>
        </w:rPr>
        <w:t xml:space="preserve">A</w:t>
      </w:r>
      <w:r>
        <w:t xml:space="preserve"> </w:t>
      </w:r>
      <w:r>
        <w:t xml:space="preserve">= 0,16, α = 1</w:t>
      </w:r>
    </w:p>
    <w:p>
      <w:pPr>
        <w:pStyle w:val="BodyText"/>
      </w:pPr>
      <w:r>
        <w:rPr>
          <w:bCs/>
          <w:b/>
        </w:rPr>
        <w:t xml:space="preserve">(c) Con interoperabilidad plena, la competencia pasa a ser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en el mercado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Con β = 1 la red es común y las billeteras son sustitutos perfectos en valor de red. Compiten à la Bertrand (Unidad 5) y el precio cae al costo marginal. Comparando con el caso sin interoperabilidad y con una billetera dominante que cobra el precio de monopolio de la sección 6 (costo marginal nulo):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Sin interoperabilidad, una billetera dominante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Interoperabilidad plena + Bertrand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2/9 ≈ 0,222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(= costo marginal)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Beneficio de la plataforma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4/27 ≈ 0,148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Excedente de los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4/27 ≈ 0,148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 = 0,5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Bienestar total W = y²(2 − y)/2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8/27 ≈ 0,296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1/2 = 0,5 (máximo)</w:t>
            </w:r>
          </w:p>
        </w:tc>
      </w:tr>
    </w:tbl>
    <w:p>
      <w:pPr>
        <w:pStyle w:val="BodyText"/>
      </w:pPr>
      <w:r>
        <w:t xml:space="preserve">Con costo marginal nulo, interoperabilidad y competencia en precios llevan al</w:t>
      </w:r>
      <w:r>
        <w:t xml:space="preserve"> </w:t>
      </w:r>
      <w:r>
        <w:rPr>
          <w:bCs/>
          <w:b/>
        </w:rPr>
        <w:t xml:space="preserve">óptimo social</w:t>
      </w:r>
      <w:r>
        <w:t xml:space="preserve">. Si en cambio el 0,16 se interpreta como costo de adopción que la competencia no elimina (trámites, aprendizaje), el precio cae a ese nivel y la adopción total vuelve a 0,8, repartida entre las dos billeteras.</w:t>
      </w:r>
    </w:p>
    <w:p>
      <w:pPr>
        <w:pStyle w:val="BodyText"/>
      </w:pPr>
      <w:r>
        <w:rPr>
          <w:bCs/>
          <w:b/>
        </w:rPr>
        <w:t xml:space="preserve">(d) Incentivos: por qué la interoperabilidad suele requerir regulación.</w:t>
      </w:r>
      <w:r>
        <w:t xml:space="preserve"> </w:t>
      </w:r>
      <w:r>
        <w:t xml:space="preserve">La billetera dominante pierde con la interoperabilidad (su beneficio pasa de 0,148 a 0), mientras que los usuarios y el rival ganan. Es el resultado de Crémer, Rey y Tirole (2000):</w:t>
      </w:r>
      <w:r>
        <w:t xml:space="preserve"> </w:t>
      </w:r>
      <w:r>
        <w:rPr>
          <w:bCs/>
          <w:b/>
        </w:rPr>
        <w:t xml:space="preserve">la red grande prefiere no interconectarse</w:t>
      </w:r>
      <w:r>
        <w:t xml:space="preserve">. Por eso la compatibilidad rara vez surge espontáneamente y suele imponerse por regulación, como en el caso del QR interoperable del BCRA (dato a verificar con la fuente oficial). En términos de la Unidad 8, negar la interoperabilidad funciona como una estrategia de</w:t>
      </w:r>
      <w:r>
        <w:t xml:space="preserve"> </w:t>
      </w:r>
      <w:r>
        <w:rPr>
          <w:bCs/>
          <w:b/>
        </w:rPr>
        <w:t xml:space="preserve">cierre de mercado (</w:t>
      </w:r>
      <w:r>
        <w:rPr>
          <w:iCs/>
          <w:i/>
          <w:bCs/>
          <w:b/>
        </w:rPr>
        <w:t xml:space="preserve">foreclosure</w:t>
      </w:r>
      <w:r>
        <w:rPr>
          <w:bCs/>
          <w:b/>
        </w:rPr>
        <w:t xml:space="preserve">)</w:t>
      </w:r>
      <w:r>
        <w:t xml:space="preserve">.</w:t>
      </w:r>
    </w:p>
    <w:p>
      <w:pPr>
        <w:pStyle w:val="BodyText"/>
      </w:pPr>
      <w:r>
        <w:t xml:space="preserve">Dos matices para la discusión:</w:t>
      </w:r>
    </w:p>
    <w:p>
      <w:pPr>
        <w:numPr>
          <w:ilvl w:val="0"/>
          <w:numId w:val="13"/>
        </w:numPr>
        <w:pStyle w:val="Compact"/>
      </w:pPr>
      <w:r>
        <w:rPr>
          <w:bCs/>
          <w:b/>
        </w:rPr>
        <w:t xml:space="preserve">Bertrand con producto homogéneo es un caso extremo.</w:t>
      </w:r>
      <w:r>
        <w:t xml:space="preserve"> </w:t>
      </w:r>
      <w:r>
        <w:t xml:space="preserve">Si las billeteras se diferencian (servicios financieros, integración con el</w:t>
      </w:r>
      <w:r>
        <w:t xml:space="preserve"> </w:t>
      </w:r>
      <w:r>
        <w:rPr>
          <w:iCs/>
          <w:i/>
        </w:rPr>
        <w:t xml:space="preserve">marketplace</w:t>
      </w:r>
      <w:r>
        <w:t xml:space="preserve">, beneficios bancarios), conservan márgenes positivos aun con β = 1.</w:t>
      </w:r>
    </w:p>
    <w:p>
      <w:pPr>
        <w:numPr>
          <w:ilvl w:val="0"/>
          <w:numId w:val="13"/>
        </w:numPr>
        <w:pStyle w:val="Compact"/>
      </w:pPr>
      <w:r>
        <w:rPr>
          <w:bCs/>
          <w:b/>
        </w:rPr>
        <w:t xml:space="preserve">Interoperabilidad e innovación.</w:t>
      </w:r>
      <w:r>
        <w:t xml:space="preserve"> </w:t>
      </w:r>
      <w:r>
        <w:t xml:space="preserve">Obligar a la interoperabilidad reduce el premio del pionero que pagó el costo de alcanzar la masa crítica. Es la tensión entre competencia e innovación de la Unidad 10.</w:t>
      </w:r>
    </w:p>
    <w:p>
      <w:pPr>
        <w:pStyle w:val="FirstParagraph"/>
      </w:pPr>
      <w:r>
        <w:t xml:space="preserve">Sobre la colusión, un acuerdo de interoperabilidad entre rivales puede leerse de dos maneras (Unidad 6):</w:t>
      </w:r>
    </w:p>
    <w:p>
      <w:pPr>
        <w:numPr>
          <w:ilvl w:val="0"/>
          <w:numId w:val="14"/>
        </w:numPr>
        <w:pStyle w:val="Compact"/>
      </w:pPr>
      <w:r>
        <w:rPr>
          <w:bCs/>
          <w:b/>
        </w:rPr>
        <w:t xml:space="preserve">Procompetitivo:</w:t>
      </w:r>
      <w:r>
        <w:t xml:space="preserve"> </w:t>
      </w:r>
      <w:r>
        <w:t xml:space="preserve">baja la masa crítica y el</w:t>
      </w:r>
      <w:r>
        <w:t xml:space="preserve"> </w:t>
      </w:r>
      <w:r>
        <w:rPr>
          <w:iCs/>
          <w:i/>
        </w:rPr>
        <w:t xml:space="preserve">lock-in</w:t>
      </w:r>
      <w:r>
        <w:t xml:space="preserve">.</w:t>
      </w:r>
    </w:p>
    <w:p>
      <w:pPr>
        <w:numPr>
          <w:ilvl w:val="0"/>
          <w:numId w:val="14"/>
        </w:numPr>
        <w:pStyle w:val="Compact"/>
      </w:pPr>
      <w:r>
        <w:rPr>
          <w:bCs/>
          <w:b/>
        </w:rPr>
        <w:t xml:space="preserve">Riesgoso:</w:t>
      </w:r>
      <w:r>
        <w:t xml:space="preserve"> </w:t>
      </w:r>
      <w:r>
        <w:t xml:space="preserve">si además coordina comisiones, atenúa la rivalidad.</w:t>
      </w:r>
    </w:p>
    <w:p>
      <w:pPr>
        <w:pStyle w:val="FirstParagraph"/>
      </w:pPr>
      <w:r>
        <w:t xml:space="preserve">El análisis debe separar la compatibilidad técnica, deseable, de la coordinación de precios, que no lo es.</w:t>
      </w:r>
    </w:p>
    <w:bookmarkEnd w:id="1"/>
    <w:bookmarkStart w:id="3" w:name="síntesis-de-las-extensiones"/>
    <w:p>
      <w:pPr>
        <w:pStyle w:val="Heading3"/>
      </w:pPr>
      <w:r>
        <w:t xml:space="preserve">7.3 Síntesis de las extensiones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base (secc. 5–6)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Extensión bilateral (7.1)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Competencia (7.2)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Masa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20 %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frontera en (y; m): 20 % de cada lado, o 37,5 % de un solo lado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billetera necesita su propia masa crítica; sin interoperabilidad el mercado no puede repartirse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Monopolio: 2/9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</w:t>
            </w:r>
            <w:r>
              <w:t xml:space="preserve"> </w:t>
            </w:r>
            <w:r>
              <w:rPr>
                <w:bCs/>
                <w:b/>
              </w:rPr>
              <w:t xml:space="preserve">estructura</w:t>
            </w:r>
            <w:r>
              <w:t xml:space="preserve"> </w:t>
            </w:r>
            <w:r>
              <w:t xml:space="preserve">importa: gratis para el lado más valioso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interoperabilidad, subsidios para entrar; con interoperabilidad, precio igual al costo marginal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Subsidio e interoperabilidad bajan la masa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Subsidiar al lado</w:t>
            </w:r>
            <w:r>
              <w:t xml:space="preserve"> </w:t>
            </w:r>
            <w:r>
              <w:t xml:space="preserve">“</w:t>
            </w:r>
            <w:r>
              <w:t xml:space="preserve">difícil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interoperabilidad elimina la ventaja de red (1 − β) y requiere regulación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U2, U9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U3 (estructura de precios), U9 (Rochet-Tirole)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U4 (coordinación), U5 (Bertrand), U6 (predación), U7, U8 (</w:t>
            </w:r>
            <w:r>
              <w:rPr>
                <w:iCs/>
                <w:i/>
              </w:rPr>
              <w:t xml:space="preserve">foreclosure</w:t>
            </w:r>
            <w:r>
              <w:t xml:space="preserve">), U10</w:t>
            </w:r>
          </w:p>
        </w:tc>
      </w:tr>
    </w:tbl>
    <w:p>
      <w:pPr>
        <w:pStyle w:val="BodyText"/>
      </w:pPr>
      <w:r>
        <w:rPr>
          <w:iCs/>
          <w:i/>
        </w:rPr>
        <w:t xml:space="preserve">Referencias nuevas a incorporar a la bibliografía:</w:t>
      </w:r>
      <w:r>
        <w:t xml:space="preserve"> </w:t>
      </w:r>
      <w:r>
        <w:t xml:space="preserve">Armstrong (2006); Caillaud y Jullien (2003); Crémer, Rey y Tirole (2000); Rochet y Tirole (2003, 2006). Verificar los datos completos de cada una antes de citarlas.</w:t>
      </w:r>
    </w:p>
    <w:bookmarkEnd w:id="2"/>
    <w:bookmarkEnd w:id="3"/>
    <w:p>
      <w:pPr>
        <w:pStyle w:val="Heading2"/>
      </w:pPr>
      <w:r>
        <w:t>8. Próximos pasos</w:t>
      </w:r>
    </w:p>
    <w:p>
      <w:pPr>
        <w:pStyle w:val="ListParagraph"/>
        <w:numPr>
          <w:ilvl w:val="0"/>
          <w:numId w:val="7"/>
        </w:numPr>
      </w:pPr>
      <w:r>
        <w:t xml:space="preserve">Completar el estado del arte con fuentes y datos reales de Argentina (pagos QR, regulación del BCRA, participación de mercado).</w:t>
      </w:r>
    </w:p>
    <w:p>
      <w:pPr>
        <w:pStyle w:val="ListParagraph"/>
        <w:numPr>
          <w:ilvl w:val="0"/>
          <w:numId w:val="7"/>
        </w:numPr>
      </w:pPr>
      <w:r>
        <w:t xml:space="preserve">Evaluar el costo de un subsidio frente a los beneficios de superar la masa crítica.</w:t>
      </w:r>
    </w:p>
    <w:p>
      <w:pPr>
        <w:pStyle w:val="ListParagraph"/>
        <w:numPr>
          <w:ilvl w:val="0"/>
          <w:numId w:val="7"/>
        </w:numPr>
      </w:pPr>
      <w:r>
        <w:t xml:space="preserve">Desarrollar la extensión bilateral o la competencia entre dos plataformas, según lo que indique el docente.</w:t>
      </w:r>
      <w:r>
        <w:rPr>
          <w:b/>
        </w:rPr>
        <w:t xml:space="preserve"> Hecho en la sección 7; confirmar con el docente cuál de las dos extensiones conservar.</w:t>
      </w:r>
    </w:p>
    <w:p>
      <w:pPr>
        <w:pStyle w:val="ListParagraph"/>
        <w:numPr>
          <w:ilvl w:val="0"/>
          <w:numId w:val="7"/>
        </w:numPr>
      </w:pPr>
      <w:r>
        <w:t xml:space="preserve">Redactar conclusiones y bibliografía completa.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>
    <w:nsid w:val="0163D10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2"/>
  </w:num>
  <w:num w:numId="7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BodyTextChar" w:type="character">
    <w:name w:val="Body Text Char"/>
    <w:basedOn w:val="DefaultParagraphFont"/>
    <w:link w:val="BodyText"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Efectos de red, masa crítica y trampas de coordinación en billeteras virtuales y</dc:title>
  <dc:description>Claude Docs node/278cda03-bb4f@2 docx-w7</dc:description>
  <cp:revision>2</cp:revision>
</cp:coreProperties>
</file>