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8bc58fea2d5a93bd714841be54b495d0f5ab8a"/>
    <w:p>
      <w:pPr>
        <w:pStyle w:val="Heading2"/>
      </w:pPr>
      <w:r>
        <w:t xml:space="preserve">7. Extensiones: mercado bilateral y competencia entre dos plataformas</w:t>
      </w:r>
    </w:p>
    <w:p>
      <w:pPr>
        <w:pStyle w:val="FirstParagraph"/>
      </w:pPr>
      <w:r>
        <w:t xml:space="preserve">En la sección 4 se señaló una limitación del modelo base. El enunciado describe un mercado bilateral (usuarios y comercios), pero la ecuación U = θ · (α · yᵉ) − P resume todo en una única externalidad agregada. Esta sección levanta esa simplificación en dos direcciones complementarias: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7.1</w:t>
      </w:r>
      <w:r>
        <w:t xml:space="preserve"> </w:t>
      </w:r>
      <w:r>
        <w:t xml:space="preserve">separa usuarios y comercios dentro de una misma plataforma (extensión bilateral).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7.2</w:t>
      </w:r>
      <w:r>
        <w:t xml:space="preserve"> </w:t>
      </w:r>
      <w:r>
        <w:t xml:space="preserve">mantiene un solo lado, pero introduce dos billeteras que compiten entre sí (competencia entre plataformas).</w:t>
      </w:r>
    </w:p>
    <w:p>
      <w:pPr>
        <w:pStyle w:val="FirstParagraph"/>
      </w:pPr>
      <w:r>
        <w:t xml:space="preserve">Se conservan los supuestos de las secciones 5 y 6: tipos uniformes en [0,1], expectativas autocumplidas y costo marginal nulo para la plataforma.</w:t>
      </w:r>
    </w:p>
    <w:bookmarkStart w:id="26" w:name="extensión-bilateral-usuarios-y-comercios"/>
    <w:p>
      <w:pPr>
        <w:pStyle w:val="Heading3"/>
      </w:pPr>
      <w:r>
        <w:t xml:space="preserve">7.1 Extensión bilateral: usuarios y comercios</w:t>
      </w:r>
    </w:p>
    <w:p>
      <w:pPr>
        <w:pStyle w:val="FirstParagraph"/>
      </w:pPr>
      <w:r>
        <w:rPr>
          <w:bCs/>
          <w:b/>
        </w:rPr>
        <w:t xml:space="preserve">Planteo.</w:t>
      </w:r>
      <w:r>
        <w:t xml:space="preserve"> </w:t>
      </w:r>
      <w:r>
        <w:t xml:space="preserve">Los usuarios tienen un tipo θ ~ U[0,1] (intensidad de uso) y los comercios un tipo φ ~ U[0,1] (intensidad de ventas que se cobran con medios digitales). Cada lado valora el tamaño esperado</w:t>
      </w:r>
      <w:r>
        <w:t xml:space="preserve"> </w:t>
      </w:r>
      <w:r>
        <w:rPr>
          <w:bCs/>
          <w:b/>
        </w:rPr>
        <w:t xml:space="preserve">del otro lado</w:t>
      </w:r>
      <w:r>
        <w:t xml:space="preserve">: es un efecto de red indirecto o cruzado (Rochet y Tirole, 2003; Armstrong, 2006).</w:t>
      </w:r>
    </w:p>
    <w:p>
      <w:pPr>
        <w:pStyle w:val="BodyText"/>
      </w:pPr>
      <w:r>
        <w:rPr>
          <w:bCs/>
          <w:b/>
        </w:rPr>
        <w:t xml:space="preserve">U = θ · (α</w:t>
      </w:r>
      <w:r>
        <w:rPr>
          <w:vertAlign w:val="subscript"/>
          <w:bCs/>
          <w:b/>
        </w:rPr>
        <w:t xml:space="preserve">u</w:t>
      </w:r>
      <w:r>
        <w:rPr>
          <w:bCs/>
          <w:b/>
        </w:rPr>
        <w:t xml:space="preserve"> </w:t>
      </w:r>
      <w:r>
        <w:rPr>
          <w:bCs/>
          <w:b/>
        </w:rPr>
        <w:t xml:space="preserve">· mᵉ) − P</w:t>
      </w:r>
      <w:r>
        <w:rPr>
          <w:vertAlign w:val="subscript"/>
          <w:bCs/>
          <w:b/>
        </w:rPr>
        <w:t xml:space="preserve">u</w:t>
      </w:r>
      <w:r>
        <w:t xml:space="preserve"> </w:t>
      </w:r>
      <w:r>
        <w:t xml:space="preserve">(usuarios)</w:t>
      </w:r>
    </w:p>
    <w:p>
      <w:pPr>
        <w:pStyle w:val="BodyText"/>
      </w:pPr>
      <w:r>
        <w:rPr>
          <w:bCs/>
          <w:b/>
        </w:rPr>
        <w:t xml:space="preserve">V = φ · (α</w:t>
      </w:r>
      <w:r>
        <w:rPr>
          <w:vertAlign w:val="subscript"/>
          <w:bCs/>
          <w:b/>
        </w:rPr>
        <w:t xml:space="preserve">c</w:t>
      </w:r>
      <w:r>
        <w:rPr>
          <w:bCs/>
          <w:b/>
        </w:rPr>
        <w:t xml:space="preserve"> </w:t>
      </w:r>
      <w:r>
        <w:rPr>
          <w:bCs/>
          <w:b/>
        </w:rPr>
        <w:t xml:space="preserve">· yᵉ) − P</w:t>
      </w:r>
      <w:r>
        <w:rPr>
          <w:vertAlign w:val="subscript"/>
          <w:bCs/>
          <w:b/>
        </w:rPr>
        <w:t xml:space="preserve">c</w:t>
      </w:r>
      <w:r>
        <w:t xml:space="preserve"> </w:t>
      </w:r>
      <w:r>
        <w:t xml:space="preserve">(comercios)</w:t>
      </w:r>
    </w:p>
    <w:p>
      <w:pPr>
        <w:pStyle w:val="BodyText"/>
      </w:pPr>
      <w:r>
        <w:t xml:space="preserve">Aquí y es la fracción de usuarios que adoptan y m la fracción de comercios que aceptan la billetera. α</w:t>
      </w:r>
      <w:r>
        <w:rPr>
          <w:vertAlign w:val="subscript"/>
        </w:rPr>
        <w:t xml:space="preserve">u</w:t>
      </w:r>
      <w:r>
        <w:t xml:space="preserve"> </w:t>
      </w:r>
      <w:r>
        <w:t xml:space="preserve">mide cuánto valoran los usuarios cada comercio adherido y α</w:t>
      </w:r>
      <w:r>
        <w:rPr>
          <w:vertAlign w:val="subscript"/>
        </w:rPr>
        <w:t xml:space="preserve">c</w:t>
      </w:r>
      <w:r>
        <w:t xml:space="preserve"> </w:t>
      </w:r>
      <w:r>
        <w:t xml:space="preserve">cuánto valoran los comercios cada usuario. P</w:t>
      </w:r>
      <w:r>
        <w:rPr>
          <w:vertAlign w:val="subscript"/>
        </w:rPr>
        <w:t xml:space="preserve">u</w:t>
      </w:r>
      <w:r>
        <w:t xml:space="preserve"> </w:t>
      </w:r>
      <w:r>
        <w:t xml:space="preserve">y P</w:t>
      </w:r>
      <w:r>
        <w:rPr>
          <w:vertAlign w:val="subscript"/>
        </w:rPr>
        <w:t xml:space="preserve">c</w:t>
      </w:r>
      <w:r>
        <w:t xml:space="preserve"> </w:t>
      </w:r>
      <w:r>
        <w:t xml:space="preserve">son los costos efectivos de adopción de cada lado.</w:t>
      </w:r>
    </w:p>
    <w:p>
      <w:pPr>
        <w:pStyle w:val="BodyText"/>
      </w:pPr>
      <w:r>
        <w:rPr>
          <w:bCs/>
          <w:b/>
        </w:rPr>
        <w:t xml:space="preserve">Consumidores y comercios marginales.</w:t>
      </w:r>
      <w:r>
        <w:t xml:space="preserve"> </w:t>
      </w:r>
      <w:r>
        <w:t xml:space="preserve">Igual que en 5.1, adopta quien obtiene utilidad no negativa:</w:t>
      </w:r>
    </w:p>
    <w:p>
      <w:pPr>
        <w:pStyle w:val="BodyText"/>
      </w:pPr>
      <w:r>
        <w:t xml:space="preserve">θ* = P</w:t>
      </w:r>
      <w:r>
        <w:rPr>
          <w:vertAlign w:val="subscript"/>
        </w:rPr>
        <w:t xml:space="preserve">u</w:t>
      </w:r>
      <w:r>
        <w:t xml:space="preserve"> </w:t>
      </w:r>
      <w:r>
        <w:t xml:space="preserve">/ (α</w:t>
      </w:r>
      <w:r>
        <w:rPr>
          <w:vertAlign w:val="subscript"/>
        </w:rPr>
        <w:t xml:space="preserve">u</w:t>
      </w:r>
      <w:r>
        <w:t xml:space="preserve"> </w:t>
      </w:r>
      <w:r>
        <w:t xml:space="preserve">· mᵉ) ⇒ y = 1 − P</w:t>
      </w:r>
      <w:r>
        <w:rPr>
          <w:vertAlign w:val="subscript"/>
        </w:rPr>
        <w:t xml:space="preserve">u</w:t>
      </w:r>
      <w:r>
        <w:t xml:space="preserve"> </w:t>
      </w:r>
      <w:r>
        <w:t xml:space="preserve">/ (α</w:t>
      </w:r>
      <w:r>
        <w:rPr>
          <w:vertAlign w:val="subscript"/>
        </w:rPr>
        <w:t xml:space="preserve">u</w:t>
      </w:r>
      <w:r>
        <w:t xml:space="preserve"> </w:t>
      </w:r>
      <w:r>
        <w:t xml:space="preserve">· mᵉ)</w:t>
      </w:r>
    </w:p>
    <w:p>
      <w:pPr>
        <w:pStyle w:val="BodyText"/>
      </w:pPr>
      <w:r>
        <w:t xml:space="preserve">φ* = P</w:t>
      </w:r>
      <w:r>
        <w:rPr>
          <w:vertAlign w:val="subscript"/>
        </w:rPr>
        <w:t xml:space="preserve">c</w:t>
      </w:r>
      <w:r>
        <w:t xml:space="preserve"> </w:t>
      </w:r>
      <w:r>
        <w:t xml:space="preserve">/ (α</w:t>
      </w:r>
      <w:r>
        <w:rPr>
          <w:vertAlign w:val="subscript"/>
        </w:rPr>
        <w:t xml:space="preserve">c</w:t>
      </w:r>
      <w:r>
        <w:t xml:space="preserve"> </w:t>
      </w:r>
      <w:r>
        <w:t xml:space="preserve">· yᵉ) ⇒ m = 1 − P</w:t>
      </w:r>
      <w:r>
        <w:rPr>
          <w:vertAlign w:val="subscript"/>
        </w:rPr>
        <w:t xml:space="preserve">c</w:t>
      </w:r>
      <w:r>
        <w:t xml:space="preserve"> </w:t>
      </w:r>
      <w:r>
        <w:t xml:space="preserve">/ (α</w:t>
      </w:r>
      <w:r>
        <w:rPr>
          <w:vertAlign w:val="subscript"/>
        </w:rPr>
        <w:t xml:space="preserve">c</w:t>
      </w:r>
      <w:r>
        <w:t xml:space="preserve"> </w:t>
      </w:r>
      <w:r>
        <w:t xml:space="preserve">· yᵉ)</w:t>
      </w:r>
    </w:p>
    <w:p>
      <w:pPr>
        <w:pStyle w:val="BodyText"/>
      </w:pPr>
      <w:r>
        <w:t xml:space="preserve">La adopción de cada lado depende de lo que se espera</w:t>
      </w:r>
      <w:r>
        <w:t xml:space="preserve"> </w:t>
      </w:r>
      <w:r>
        <w:rPr>
          <w:bCs/>
          <w:b/>
        </w:rPr>
        <w:t xml:space="preserve">del otro lado</w:t>
      </w:r>
      <w:r>
        <w:t xml:space="preserve">. Este es el problema del huevo y la gallina: sin comercios no hay usuarios, y sin usuarios no hay comercios.</w:t>
      </w:r>
    </w:p>
    <w:p>
      <w:pPr>
        <w:pStyle w:val="BodyText"/>
      </w:pPr>
      <w:r>
        <w:rPr>
          <w:bCs/>
          <w:b/>
        </w:rPr>
        <w:t xml:space="preserve">Equilibrios.</w:t>
      </w:r>
      <w:r>
        <w:t xml:space="preserve"> </w:t>
      </w:r>
      <w:r>
        <w:t xml:space="preserve">Con expectativas autocumplidas en ambos lados (yᵉ = y, mᵉ = m), y llamando a = P</w:t>
      </w:r>
      <w:r>
        <w:rPr>
          <w:vertAlign w:val="subscript"/>
        </w:rPr>
        <w:t xml:space="preserve">u</w:t>
      </w:r>
      <w:r>
        <w:t xml:space="preserve">/α</w:t>
      </w:r>
      <w:r>
        <w:rPr>
          <w:vertAlign w:val="subscript"/>
        </w:rPr>
        <w:t xml:space="preserve">u</w:t>
      </w:r>
      <w:r>
        <w:t xml:space="preserve"> </w:t>
      </w:r>
      <w:r>
        <w:t xml:space="preserve">y b = P</w:t>
      </w:r>
      <w:r>
        <w:rPr>
          <w:vertAlign w:val="subscript"/>
        </w:rPr>
        <w:t xml:space="preserve">c</w:t>
      </w:r>
      <w:r>
        <w:t xml:space="preserve">/α</w:t>
      </w:r>
      <w:r>
        <w:rPr>
          <w:vertAlign w:val="subscript"/>
        </w:rPr>
        <w:t xml:space="preserve">c</w:t>
      </w:r>
      <w:r>
        <w:t xml:space="preserve">, al reemplazar m en la ecuación de y se obtiene:</w:t>
      </w:r>
    </w:p>
    <w:p>
      <w:pPr>
        <w:pStyle w:val="BodyText"/>
      </w:pPr>
      <w:r>
        <w:rPr>
          <w:bCs/>
          <w:b/>
        </w:rPr>
        <w:t xml:space="preserve">y² − (1 + b − a) · y + b = 0,</w:t>
      </w:r>
      <w:r>
        <w:t xml:space="preserve"> </w:t>
      </w:r>
      <w:r>
        <w:t xml:space="preserve">con m = 1 − b / y</w:t>
      </w:r>
    </w:p>
    <w:p>
      <w:pPr>
        <w:pStyle w:val="BodyText"/>
      </w:pPr>
      <w:r>
        <w:t xml:space="preserve">Además, siempre existe el equilibrio sin adopción (y = m = 0).</w:t>
      </w:r>
    </w:p>
    <w:p>
      <w:pPr>
        <w:pStyle w:val="BodyText"/>
      </w:pPr>
      <w:r>
        <w:rPr>
          <w:iCs/>
          <w:i/>
        </w:rPr>
        <w:t xml:space="preserve">Caso simétrico</w:t>
      </w:r>
      <w:r>
        <w:t xml:space="preserve"> </w:t>
      </w:r>
      <w:r>
        <w:t xml:space="preserve">(α</w:t>
      </w:r>
      <w:r>
        <w:rPr>
          <w:vertAlign w:val="subscript"/>
        </w:rPr>
        <w:t xml:space="preserve">u</w:t>
      </w:r>
      <w:r>
        <w:t xml:space="preserve"> </w:t>
      </w:r>
      <w:r>
        <w:t xml:space="preserve">= α</w:t>
      </w:r>
      <w:r>
        <w:rPr>
          <w:vertAlign w:val="subscript"/>
        </w:rPr>
        <w:t xml:space="preserve">c</w:t>
      </w:r>
      <w:r>
        <w:t xml:space="preserve"> </w:t>
      </w:r>
      <w:r>
        <w:t xml:space="preserve">= 1, P</w:t>
      </w:r>
      <w:r>
        <w:rPr>
          <w:vertAlign w:val="subscript"/>
        </w:rPr>
        <w:t xml:space="preserve">u</w:t>
      </w:r>
      <w:r>
        <w:t xml:space="preserve"> </w:t>
      </w:r>
      <w:r>
        <w:t xml:space="preserve">= P</w:t>
      </w:r>
      <w:r>
        <w:rPr>
          <w:vertAlign w:val="subscript"/>
        </w:rPr>
        <w:t xml:space="preserve">c</w:t>
      </w:r>
      <w:r>
        <w:t xml:space="preserve"> </w:t>
      </w:r>
      <w:r>
        <w:t xml:space="preserve">= 0,16). La ecuación se reduce a y² − y + 0,16 = 0, la misma de la sección 5.2. Los equilibrios son (0; 0), (0,2; 0,2) y (0,8; 0,8).</w:t>
      </w:r>
      <w:r>
        <w:t xml:space="preserve"> </w:t>
      </w:r>
      <w:r>
        <w:rPr>
          <w:bCs/>
          <w:b/>
        </w:rPr>
        <w:t xml:space="preserve">El modelo de un solo lado es, entonces, el caso simétrico del modelo bilateral</w:t>
      </w:r>
      <w:r>
        <w:t xml:space="preserve">, lo que valida la forma reducida que usa el enunciado.</w:t>
      </w:r>
    </w:p>
    <w:p>
      <w:pPr>
        <w:pStyle w:val="BodyText"/>
      </w:pPr>
      <w:r>
        <w:rPr>
          <w:bCs/>
          <w:b/>
        </w:rPr>
        <w:t xml:space="preserve">Estabilidad.</w:t>
      </w:r>
      <w:r>
        <w:t xml:space="preserve"> </w:t>
      </w:r>
      <w:r>
        <w:t xml:space="preserve">Las expectativas se ajustan gradualmente hacia la adopción observada en cada lado. La matriz jacobiana del sistema es [[−1, a/m²], [b/y², −1]] y sus raíces son −1 ± √(ab)/(y·m). Un equilibrio es estable si</w:t>
      </w:r>
    </w:p>
    <w:p>
      <w:pPr>
        <w:pStyle w:val="BodyText"/>
      </w:pPr>
      <w:r>
        <w:rPr>
          <w:bCs/>
          <w:b/>
        </w:rPr>
        <w:t xml:space="preserve">√(a · b) &lt; y · m</w:t>
      </w:r>
    </w:p>
    <w:p>
      <w:pPr>
        <w:pStyle w:val="BodyText"/>
      </w:pPr>
      <w:r>
        <w:t xml:space="preserve">Es la versión bilateral de la condición</w:t>
      </w:r>
      <w:r>
        <w:t xml:space="preserve"> </w:t>
      </w:r>
      <w:r>
        <w:t xml:space="preserve">“</w:t>
      </w:r>
      <w:r>
        <w:t xml:space="preserve">pendiente menor que 1</w:t>
      </w:r>
      <w:r>
        <w:t xml:space="preserve">”</w:t>
      </w:r>
      <w:r>
        <w:t xml:space="preserve"> </w:t>
      </w:r>
      <w:r>
        <w:t xml:space="preserve">de la sección 5.2: ahora lo que importa es el</w:t>
      </w:r>
      <w:r>
        <w:t xml:space="preserve"> </w:t>
      </w:r>
      <w:r>
        <w:rPr>
          <w:bCs/>
          <w:b/>
        </w:rPr>
        <w:t xml:space="preserve">producto de las respuestas cruzadas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Equilibrio (y;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√(ab)/(y·m)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(0,2; 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(&gt;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Inestable: punto de silla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(0,8; 0,8)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(&lt;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Masa crítica en dos dimensiones.</w:t>
      </w:r>
      <w:r>
        <w:t xml:space="preserve"> </w:t>
      </w:r>
      <w:r>
        <w:t xml:space="preserve">La masa crítica ya no es un número, sino una</w:t>
      </w:r>
      <w:r>
        <w:t xml:space="preserve"> </w:t>
      </w:r>
      <w:r>
        <w:rPr>
          <w:bCs/>
          <w:b/>
        </w:rPr>
        <w:t xml:space="preserve">frontera</w:t>
      </w:r>
      <w:r>
        <w:t xml:space="preserve"> </w:t>
      </w:r>
      <w:r>
        <w:t xml:space="preserve">en el plano (y; m) que pasa por el punto de silla (0,2; 0,2). Por encima de esa frontera la red despega; por debajo, colapsa (Gráfico 4). Dos consecuencias:</w:t>
      </w:r>
    </w:p>
    <w:p>
      <w:pPr>
        <w:numPr>
          <w:ilvl w:val="0"/>
          <w:numId w:val="1002"/>
        </w:numPr>
        <w:pStyle w:val="Compact"/>
      </w:pPr>
      <w:r>
        <w:t xml:space="preserve">Alcanza con</w:t>
      </w:r>
      <w:r>
        <w:t xml:space="preserve"> </w:t>
      </w:r>
      <w:r>
        <w:t xml:space="preserve">“</w:t>
      </w:r>
      <w:r>
        <w:t xml:space="preserve">sembrar</w:t>
      </w:r>
      <w:r>
        <w:t xml:space="preserve">”</w:t>
      </w:r>
      <w:r>
        <w:t xml:space="preserve"> </w:t>
      </w:r>
      <w:r>
        <w:t xml:space="preserve">un solo lado si se lo siembra con fuerza. Con la dinámica de ajuste supuesta, si se parte sin comercios hacen falta alrededor del 37,5 % de usuarios para que la red despegue. Si se crece de forma equilibrada, alcanza con el 20 % de cada lado.</w:t>
      </w:r>
    </w:p>
    <w:p>
      <w:pPr>
        <w:numPr>
          <w:ilvl w:val="0"/>
          <w:numId w:val="1002"/>
        </w:numPr>
        <w:pStyle w:val="Compact"/>
      </w:pPr>
      <w:r>
        <w:t xml:space="preserve">Este resultado justifica estrategias como regalar terminales o QR a los comercios y, a la vez, dar reintegros a los usuarios.</w:t>
      </w:r>
    </w:p>
    <w:p>
      <w:pPr>
        <w:pStyle w:val="FirstParagraph"/>
      </w:pPr>
      <w:r>
        <w:rPr>
          <w:iCs/>
          <w:i/>
        </w:rPr>
        <w:t xml:space="preserve">Gráfico 4. Diagrama de fases del modelo bilateral: curvas de respuesta de cada lado, equilibrios y zonas de atracción.</w:t>
      </w:r>
    </w:p>
    <w:p>
      <w:pPr>
        <w:pStyle w:val="BodyText"/>
      </w:pPr>
      <w:r>
        <w:drawing>
          <wp:inline>
            <wp:extent cx="5334000" cy="46672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as/grafico4_bilateral_fas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Elaboración propia · P</w:t>
      </w:r>
      <w:r>
        <w:rPr>
          <w:vertAlign w:val="subscript"/>
        </w:rPr>
        <w:t xml:space="preserve">u</w:t>
      </w:r>
      <w:r>
        <w:t xml:space="preserve"> </w:t>
      </w:r>
      <w:r>
        <w:t xml:space="preserve">= P</w:t>
      </w:r>
      <w:r>
        <w:rPr>
          <w:vertAlign w:val="subscript"/>
        </w:rPr>
        <w:t xml:space="preserve">c</w:t>
      </w:r>
      <w:r>
        <w:t xml:space="preserve"> </w:t>
      </w:r>
      <w:r>
        <w:t xml:space="preserve">= 0,16; α</w:t>
      </w:r>
      <w:r>
        <w:rPr>
          <w:vertAlign w:val="subscript"/>
        </w:rPr>
        <w:t xml:space="preserve">u</w:t>
      </w:r>
      <w:r>
        <w:t xml:space="preserve"> </w:t>
      </w:r>
      <w:r>
        <w:t xml:space="preserve">= α</w:t>
      </w:r>
      <w:r>
        <w:rPr>
          <w:vertAlign w:val="subscript"/>
        </w:rPr>
        <w:t xml:space="preserve">c</w:t>
      </w:r>
      <w:r>
        <w:t xml:space="preserve"> </w:t>
      </w:r>
      <w:r>
        <w:t xml:space="preserve">= 1</w:t>
      </w:r>
    </w:p>
    <w:p>
      <w:pPr>
        <w:pStyle w:val="BodyText"/>
      </w:pPr>
      <w:r>
        <w:rPr>
          <w:bCs/>
          <w:b/>
        </w:rPr>
        <w:t xml:space="preserve">La estructura de precios importa.</w:t>
      </w:r>
      <w:r>
        <w:t xml:space="preserve"> </w:t>
      </w:r>
      <w:r>
        <w:t xml:space="preserve">La definición de Rochet y Tirole (2003) dice que un mercado es de dos lados si,</w:t>
      </w:r>
      <w:r>
        <w:t xml:space="preserve"> </w:t>
      </w:r>
      <w:r>
        <w:rPr>
          <w:bCs/>
          <w:b/>
        </w:rPr>
        <w:t xml:space="preserve">manteniendo fijo el precio total</w:t>
      </w:r>
      <w:r>
        <w:t xml:space="preserve">, cambiar cómo se reparte entre los lados cambia el volumen de transacciones. El modelo lo verifica. Con P</w:t>
      </w:r>
      <w:r>
        <w:rPr>
          <w:vertAlign w:val="subscript"/>
        </w:rPr>
        <w:t xml:space="preserve">u</w:t>
      </w:r>
      <w:r>
        <w:t xml:space="preserve"> </w:t>
      </w:r>
      <w:r>
        <w:t xml:space="preserve">+ P</w:t>
      </w:r>
      <w:r>
        <w:rPr>
          <w:vertAlign w:val="subscript"/>
        </w:rPr>
        <w:t xml:space="preserve">c</w:t>
      </w:r>
      <w:r>
        <w:t xml:space="preserve"> </w:t>
      </w:r>
      <w:r>
        <w:t xml:space="preserve">= 0,32 fijo: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rPr>
                <w:vertAlign w:val="subscript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rPr>
                <w:vertAlign w:val="subscript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Equilibrio alto (y;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 crítica (y;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Transacciones y·m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 de la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(0,80; 0,80)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(0,20; 0,20)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(0,89; 0,73)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(0,27; 0,11)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(0,94; 0,70)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(0,30; 0,06)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(1,00; 0,68)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(0,32;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0,218</w:t>
            </w:r>
          </w:p>
        </w:tc>
      </w:tr>
    </w:tbl>
    <w:p>
      <w:pPr>
        <w:pStyle w:val="BodyText"/>
      </w:pPr>
      <w:r>
        <w:t xml:space="preserve">Con el mismo precio total, cargar más a los comercios eleva la adopción de usuarios y el volumen de transacciones (Gráfico 5). Cuando la billetera es gratis para el usuario (P</w:t>
      </w:r>
      <w:r>
        <w:rPr>
          <w:vertAlign w:val="subscript"/>
        </w:rPr>
        <w:t xml:space="preserve">u</w:t>
      </w:r>
      <w:r>
        <w:t xml:space="preserve"> </w:t>
      </w:r>
      <w:r>
        <w:t xml:space="preserve">= 0), basta que haya algunos comercios para que todos los usuarios adopten. La coordinación queda concentrada del lado de los comercios, que necesitan esperar al menos un 32 % de usuarios.</w:t>
      </w:r>
    </w:p>
    <w:p>
      <w:pPr>
        <w:pStyle w:val="BodyText"/>
      </w:pPr>
      <w:r>
        <w:rPr>
          <w:iCs/>
          <w:i/>
        </w:rPr>
        <w:t xml:space="preserve">Gráfico 5. Adopción y transacciones en el equilibrio alto según el reparto del precio total.</w:t>
      </w:r>
    </w:p>
    <w:p>
      <w:pPr>
        <w:pStyle w:val="BodyText"/>
      </w:pPr>
      <w:r>
        <w:drawing>
          <wp:inline>
            <wp:extent cx="5334000" cy="366712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as/grafico5_estructura_precio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Elaboración propia · P</w:t>
      </w:r>
      <w:r>
        <w:rPr>
          <w:vertAlign w:val="subscript"/>
        </w:rPr>
        <w:t xml:space="preserve">u</w:t>
      </w:r>
      <w:r>
        <w:t xml:space="preserve"> </w:t>
      </w:r>
      <w:r>
        <w:t xml:space="preserve">+ P</w:t>
      </w:r>
      <w:r>
        <w:rPr>
          <w:vertAlign w:val="subscript"/>
        </w:rPr>
        <w:t xml:space="preserve">c</w:t>
      </w:r>
      <w:r>
        <w:t xml:space="preserve"> </w:t>
      </w:r>
      <w:r>
        <w:t xml:space="preserve">= 0,32; α</w:t>
      </w:r>
      <w:r>
        <w:rPr>
          <w:vertAlign w:val="subscript"/>
        </w:rPr>
        <w:t xml:space="preserve">u</w:t>
      </w:r>
      <w:r>
        <w:t xml:space="preserve"> </w:t>
      </w:r>
      <w:r>
        <w:t xml:space="preserve">= α</w:t>
      </w:r>
      <w:r>
        <w:rPr>
          <w:vertAlign w:val="subscript"/>
        </w:rPr>
        <w:t xml:space="preserve">c</w:t>
      </w:r>
      <w:r>
        <w:t xml:space="preserve"> </w:t>
      </w:r>
      <w:r>
        <w:t xml:space="preserve">= 1</w:t>
      </w:r>
    </w:p>
    <w:p>
      <w:pPr>
        <w:pStyle w:val="BodyText"/>
      </w:pPr>
      <w:r>
        <w:rPr>
          <w:bCs/>
          <w:b/>
        </w:rPr>
        <w:t xml:space="preserve">La plataforma monopolista elige la estructura.</w:t>
      </w:r>
      <w:r>
        <w:t xml:space="preserve"> </w:t>
      </w:r>
      <w:r>
        <w:t xml:space="preserve">Se extiende la sección 6 al caso bilateral. La plataforma, con costo marginal nulo, elige (P</w:t>
      </w:r>
      <w:r>
        <w:rPr>
          <w:vertAlign w:val="subscript"/>
        </w:rPr>
        <w:t xml:space="preserve">u</w:t>
      </w:r>
      <w:r>
        <w:t xml:space="preserve">; P</w:t>
      </w:r>
      <w:r>
        <w:rPr>
          <w:vertAlign w:val="subscript"/>
        </w:rPr>
        <w:t xml:space="preserve">c</w:t>
      </w:r>
      <w:r>
        <w:t xml:space="preserve">) para maximizar π = P</w:t>
      </w:r>
      <w:r>
        <w:rPr>
          <w:vertAlign w:val="subscript"/>
        </w:rPr>
        <w:t xml:space="preserve">u</w:t>
      </w:r>
      <w:r>
        <w:t xml:space="preserve"> </w:t>
      </w:r>
      <w:r>
        <w:t xml:space="preserve">· y + P</w:t>
      </w:r>
      <w:r>
        <w:rPr>
          <w:vertAlign w:val="subscript"/>
        </w:rPr>
        <w:t xml:space="preserve">c</w:t>
      </w:r>
      <w:r>
        <w:t xml:space="preserve"> </w:t>
      </w:r>
      <w:r>
        <w:t xml:space="preserve">· m en el equilibrio alto: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Lados simétricos</w:t>
      </w:r>
      <w:r>
        <w:t xml:space="preserve"> </w:t>
      </w:r>
      <w:r>
        <w:t xml:space="preserve">(α</w:t>
      </w:r>
      <w:r>
        <w:rPr>
          <w:vertAlign w:val="subscript"/>
        </w:rPr>
        <w:t xml:space="preserve">u</w:t>
      </w:r>
      <w:r>
        <w:t xml:space="preserve"> </w:t>
      </w:r>
      <w:r>
        <w:t xml:space="preserve">= α</w:t>
      </w:r>
      <w:r>
        <w:rPr>
          <w:vertAlign w:val="subscript"/>
        </w:rPr>
        <w:t xml:space="preserve">c</w:t>
      </w:r>
      <w:r>
        <w:t xml:space="preserve"> </w:t>
      </w:r>
      <w:r>
        <w:t xml:space="preserve">= 1): P</w:t>
      </w:r>
      <w:r>
        <w:rPr>
          <w:vertAlign w:val="subscript"/>
        </w:rPr>
        <w:t xml:space="preserve">u</w:t>
      </w:r>
      <w:r>
        <w:t xml:space="preserve"> </w:t>
      </w:r>
      <w:r>
        <w:t xml:space="preserve">= P</w:t>
      </w:r>
      <w:r>
        <w:rPr>
          <w:vertAlign w:val="subscript"/>
        </w:rPr>
        <w:t xml:space="preserve">c</w:t>
      </w:r>
      <w:r>
        <w:t xml:space="preserve"> </w:t>
      </w:r>
      <w:r>
        <w:t xml:space="preserve">= 2/9 ≈ 0,222, y = m = 2/3 y π = 8/27 ≈ 0,296. Es exactamente el doble del resultado de la sección 6, porque cada lado reproduce el monopolio de un lado. Sirve como control de consistencia.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Lados asimétricos</w:t>
      </w:r>
      <w:r>
        <w:t xml:space="preserve"> </w:t>
      </w:r>
      <w:r>
        <w:t xml:space="preserve">(α</w:t>
      </w:r>
      <w:r>
        <w:rPr>
          <w:vertAlign w:val="subscript"/>
        </w:rPr>
        <w:t xml:space="preserve">u</w:t>
      </w:r>
      <w:r>
        <w:t xml:space="preserve"> </w:t>
      </w:r>
      <w:r>
        <w:t xml:space="preserve">= 1, α</w:t>
      </w:r>
      <w:r>
        <w:rPr>
          <w:vertAlign w:val="subscript"/>
        </w:rPr>
        <w:t xml:space="preserve">c</w:t>
      </w:r>
      <w:r>
        <w:t xml:space="preserve"> </w:t>
      </w:r>
      <w:r>
        <w:t xml:space="preserve">= 2: cada usuario adicional le vale más al comercio, por las ventas que le trae, que cada comercio adicional al usuario): el óptimo es</w:t>
      </w:r>
      <w:r>
        <w:t xml:space="preserve"> </w:t>
      </w:r>
      <w:r>
        <w:rPr>
          <w:bCs/>
          <w:b/>
        </w:rPr>
        <w:t xml:space="preserve">P</w:t>
      </w:r>
      <w:r>
        <w:rPr>
          <w:vertAlign w:val="subscript"/>
          <w:bCs/>
          <w:b/>
        </w:rPr>
        <w:t xml:space="preserve">u</w:t>
      </w:r>
      <w:r>
        <w:rPr>
          <w:bCs/>
          <w:b/>
        </w:rPr>
        <w:t xml:space="preserve"> </w:t>
      </w:r>
      <w:r>
        <w:rPr>
          <w:bCs/>
          <w:b/>
        </w:rPr>
        <w:t xml:space="preserve">= 0 y P</w:t>
      </w:r>
      <w:r>
        <w:rPr>
          <w:vertAlign w:val="subscript"/>
          <w:bCs/>
          <w:b/>
        </w:rPr>
        <w:t xml:space="preserve">c</w:t>
      </w:r>
      <w:r>
        <w:rPr>
          <w:bCs/>
          <w:b/>
        </w:rPr>
        <w:t xml:space="preserve"> </w:t>
      </w:r>
      <w:r>
        <w:rPr>
          <w:bCs/>
          <w:b/>
        </w:rPr>
        <w:t xml:space="preserve">= 1</w:t>
      </w:r>
      <w:r>
        <w:t xml:space="preserve">, con y = 1, m = 0,5 y π = 0,5. Con P</w:t>
      </w:r>
      <w:r>
        <w:rPr>
          <w:vertAlign w:val="subscript"/>
        </w:rPr>
        <w:t xml:space="preserve">u</w:t>
      </w:r>
      <w:r>
        <w:t xml:space="preserve"> </w:t>
      </w:r>
      <w:r>
        <w:t xml:space="preserve">= 0 todos los usuarios adoptan, de modo que los comercios enfrentan m = 1 − P</w:t>
      </w:r>
      <w:r>
        <w:rPr>
          <w:vertAlign w:val="subscript"/>
        </w:rPr>
        <w:t xml:space="preserve">c</w:t>
      </w:r>
      <w:r>
        <w:t xml:space="preserve">/2 y la plataforma maximiza P</w:t>
      </w:r>
      <w:r>
        <w:rPr>
          <w:vertAlign w:val="subscript"/>
        </w:rPr>
        <w:t xml:space="preserve">c</w:t>
      </w:r>
      <w:r>
        <w:t xml:space="preserve"> </w:t>
      </w:r>
      <w:r>
        <w:t xml:space="preserve">· (1 − P</w:t>
      </w:r>
      <w:r>
        <w:rPr>
          <w:vertAlign w:val="subscript"/>
        </w:rPr>
        <w:t xml:space="preserve">c</w:t>
      </w:r>
      <w:r>
        <w:t xml:space="preserve">/2).</w:t>
      </w:r>
    </w:p>
    <w:p>
      <w:pPr>
        <w:pStyle w:val="FirstParagraph"/>
      </w:pPr>
      <w:r>
        <w:t xml:space="preserve">Este último resultado es la regla de Rochet y Tirole vista en la Unidad 9:</w:t>
      </w:r>
      <w:r>
        <w:t xml:space="preserve"> </w:t>
      </w:r>
      <w:r>
        <w:rPr>
          <w:bCs/>
          <w:b/>
        </w:rPr>
        <w:t xml:space="preserve">se le cobra menos (incluso cero) al lado cuya presencia vale más para el otro y se recauda del lado que más se beneficia</w:t>
      </w:r>
      <w:r>
        <w:t xml:space="preserve">. Es la estructura observada en las billeteras: la aplicación es gratuita y con reintegros para el usuario, y el comercio paga una comisión por cobro. Esa asimetría no implica por sí misma abuso de poder de mercado: es la forma eficiente de resolver el huevo y la gallina.</w:t>
      </w:r>
    </w:p>
    <w:bookmarkEnd w:id="26"/>
    <w:bookmarkStart w:id="30" w:name="competencia-entre-dos-plataformas"/>
    <w:p>
      <w:pPr>
        <w:pStyle w:val="Heading3"/>
      </w:pPr>
      <w:r>
        <w:t xml:space="preserve">7.2 Competencia entre dos plataformas</w:t>
      </w:r>
    </w:p>
    <w:p>
      <w:pPr>
        <w:pStyle w:val="FirstParagraph"/>
      </w:pPr>
      <w:r>
        <w:rPr>
          <w:bCs/>
          <w:b/>
        </w:rPr>
        <w:t xml:space="preserve">Planteo.</w:t>
      </w:r>
      <w:r>
        <w:t xml:space="preserve"> </w:t>
      </w:r>
      <w:r>
        <w:t xml:space="preserve">Hay dos billeteras, A (incumbente, por ejemplo Mercado Pago) y B (entrante o rival, por ejemplo MODO). Se vuelve al modelo de un lado. Cada consumidor usa a lo sumo una billetera (</w:t>
      </w:r>
      <w:r>
        <w:rPr>
          <w:iCs/>
          <w:i/>
        </w:rPr>
        <w:t xml:space="preserve">single-homing</w:t>
      </w:r>
      <w:r>
        <w:t xml:space="preserve">) y elige la que le da mayor utilidad, o ninguna:</w:t>
      </w:r>
    </w:p>
    <w:p>
      <w:pPr>
        <w:pStyle w:val="BodyText"/>
      </w:pP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i</w:t>
      </w:r>
      <w:r>
        <w:rPr>
          <w:bCs/>
          <w:b/>
        </w:rPr>
        <w:t xml:space="preserve"> </w:t>
      </w:r>
      <w:r>
        <w:rPr>
          <w:bCs/>
          <w:b/>
        </w:rPr>
        <w:t xml:space="preserve">= θ · α · (y</w:t>
      </w:r>
      <w:r>
        <w:rPr>
          <w:vertAlign w:val="subscript"/>
          <w:bCs/>
          <w:b/>
        </w:rPr>
        <w:t xml:space="preserve">i</w:t>
      </w:r>
      <w:r>
        <w:rPr>
          <w:bCs/>
          <w:b/>
        </w:rPr>
        <w:t xml:space="preserve">ᵉ + β · y</w:t>
      </w:r>
      <w:r>
        <w:rPr>
          <w:vertAlign w:val="subscript"/>
          <w:bCs/>
          <w:b/>
        </w:rPr>
        <w:t xml:space="preserve">j</w:t>
      </w:r>
      <w:r>
        <w:rPr>
          <w:bCs/>
          <w:b/>
        </w:rPr>
        <w:t xml:space="preserve">ᵉ) − P</w:t>
      </w:r>
      <w:r>
        <w:rPr>
          <w:vertAlign w:val="subscript"/>
          <w:bCs/>
          <w:b/>
        </w:rPr>
        <w:t xml:space="preserve">i</w:t>
      </w:r>
      <w:r>
        <w:rPr>
          <w:bCs/>
          <w:b/>
        </w:rPr>
        <w:t xml:space="preserve">,</w:t>
      </w:r>
      <w:r>
        <w:t xml:space="preserve"> </w:t>
      </w:r>
      <w:r>
        <w:t xml:space="preserve">i, j ∈ {A, B}</w:t>
      </w:r>
    </w:p>
    <w:p>
      <w:pPr>
        <w:pStyle w:val="BodyText"/>
      </w:pPr>
      <w:r>
        <w:t xml:space="preserve">El parámetro</w:t>
      </w:r>
      <w:r>
        <w:t xml:space="preserve"> </w:t>
      </w:r>
      <w:r>
        <w:rPr>
          <w:bCs/>
          <w:b/>
        </w:rPr>
        <w:t xml:space="preserve">β ∈ [0,1] mide el grado de interoperabilidad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β = 0: las redes son islas incompatibles; cada usuario solo aprovecha la red de su billetera.</w:t>
      </w:r>
    </w:p>
    <w:p>
      <w:pPr>
        <w:numPr>
          <w:ilvl w:val="0"/>
          <w:numId w:val="1004"/>
        </w:numPr>
        <w:pStyle w:val="Compact"/>
      </w:pPr>
      <w:r>
        <w:t xml:space="preserve">β = 1: interoperabilidad plena, como un QR que acepta cualquier billetera; la red relevante es la total.</w:t>
      </w:r>
    </w:p>
    <w:p>
      <w:pPr>
        <w:pStyle w:val="FirstParagraph"/>
      </w:pPr>
      <w:r>
        <w:rPr>
          <w:bCs/>
          <w:b/>
        </w:rPr>
        <w:t xml:space="preserve">Ventaja de red.</w:t>
      </w:r>
      <w:r>
        <w:t xml:space="preserve"> </w:t>
      </w:r>
      <w:r>
        <w:t xml:space="preserve">La diferencia de utilidad entre las dos billeteras es:</w:t>
      </w:r>
    </w:p>
    <w:p>
      <w:pPr>
        <w:pStyle w:val="BodyText"/>
      </w:pP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− U</w:t>
      </w:r>
      <w:r>
        <w:rPr>
          <w:vertAlign w:val="subscript"/>
          <w:bCs/>
          <w:b/>
        </w:rPr>
        <w:t xml:space="preserve">B</w:t>
      </w:r>
      <w:r>
        <w:rPr>
          <w:bCs/>
          <w:b/>
        </w:rPr>
        <w:t xml:space="preserve"> </w:t>
      </w:r>
      <w:r>
        <w:rPr>
          <w:bCs/>
          <w:b/>
        </w:rPr>
        <w:t xml:space="preserve">= θ · α · (1 − β) · (y</w:t>
      </w:r>
      <w:r>
        <w:rPr>
          <w:vertAlign w:val="subscript"/>
          <w:bCs/>
          <w:b/>
        </w:rPr>
        <w:t xml:space="preserve">A</w:t>
      </w:r>
      <w:r>
        <w:rPr>
          <w:bCs/>
          <w:b/>
        </w:rPr>
        <w:t xml:space="preserve">ᵉ − y</w:t>
      </w:r>
      <w:r>
        <w:rPr>
          <w:vertAlign w:val="subscript"/>
          <w:bCs/>
          <w:b/>
        </w:rPr>
        <w:t xml:space="preserve">B</w:t>
      </w:r>
      <w:r>
        <w:rPr>
          <w:bCs/>
          <w:b/>
        </w:rPr>
        <w:t xml:space="preserve">ᵉ) − (P</w:t>
      </w:r>
      <w:r>
        <w:rPr>
          <w:vertAlign w:val="subscript"/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− P</w:t>
      </w:r>
      <w:r>
        <w:rPr>
          <w:vertAlign w:val="subscript"/>
          <w:bCs/>
          <w:b/>
        </w:rPr>
        <w:t xml:space="preserve">B</w:t>
      </w:r>
      <w:r>
        <w:rPr>
          <w:bCs/>
          <w:b/>
        </w:rPr>
        <w:t xml:space="preserve">)</w:t>
      </w:r>
    </w:p>
    <w:p>
      <w:pPr>
        <w:pStyle w:val="BodyText"/>
      </w:pPr>
      <w:r>
        <w:t xml:space="preserve">La billetera más grande tiene una ventaja que crece con la diferencia de tamaño y con la intensidad del efecto de red, y</w:t>
      </w:r>
      <w:r>
        <w:t xml:space="preserve"> </w:t>
      </w:r>
      <w:r>
        <w:rPr>
          <w:bCs/>
          <w:b/>
        </w:rPr>
        <w:t xml:space="preserve">que la interoperabilidad reduce en la proporción (1 − β)</w:t>
      </w:r>
      <w:r>
        <w:t xml:space="preserve">. Con β = 1 la ventaja desaparece y solo importa el precio.</w:t>
      </w:r>
    </w:p>
    <w:p>
      <w:pPr>
        <w:pStyle w:val="BodyText"/>
      </w:pPr>
      <w:r>
        <w:rPr>
          <w:bCs/>
          <w:b/>
        </w:rPr>
        <w:t xml:space="preserve">(a) Sin interoperabilidad, el mercado se inclina hacia una sola billetera (</w:t>
      </w:r>
      <w:r>
        <w:rPr>
          <w:iCs/>
          <w:i/>
          <w:bCs/>
          <w:b/>
        </w:rPr>
        <w:t xml:space="preserve">tipping</w:t>
      </w:r>
      <w:r>
        <w:rPr>
          <w:bCs/>
          <w:b/>
        </w:rPr>
        <w:t xml:space="preserve">).</w:t>
      </w:r>
      <w:r>
        <w:t xml:space="preserve"> </w:t>
      </w:r>
      <w:r>
        <w:t xml:space="preserve">Con β = 0 y precios iguales (P = 0,16), cada consumidor elige la red que espera más grande. Los equilibrios estables son:</w:t>
      </w:r>
    </w:p>
    <w:p>
      <w:pPr>
        <w:numPr>
          <w:ilvl w:val="0"/>
          <w:numId w:val="1005"/>
        </w:numPr>
        <w:pStyle w:val="Compact"/>
      </w:pPr>
      <w:r>
        <w:t xml:space="preserve">todos en A: (y</w:t>
      </w:r>
      <w:r>
        <w:rPr>
          <w:vertAlign w:val="subscript"/>
        </w:rPr>
        <w:t xml:space="preserve">A</w:t>
      </w:r>
      <w:r>
        <w:t xml:space="preserve">; y</w:t>
      </w:r>
      <w:r>
        <w:rPr>
          <w:vertAlign w:val="subscript"/>
        </w:rPr>
        <w:t xml:space="preserve">B</w:t>
      </w:r>
      <w:r>
        <w:t xml:space="preserve">) = (0,8; 0);</w:t>
      </w:r>
    </w:p>
    <w:p>
      <w:pPr>
        <w:numPr>
          <w:ilvl w:val="0"/>
          <w:numId w:val="1005"/>
        </w:numPr>
        <w:pStyle w:val="Compact"/>
      </w:pPr>
      <w:r>
        <w:t xml:space="preserve">todos en B: (0; 0,8);</w:t>
      </w:r>
    </w:p>
    <w:p>
      <w:pPr>
        <w:numPr>
          <w:ilvl w:val="0"/>
          <w:numId w:val="1005"/>
        </w:numPr>
        <w:pStyle w:val="Compact"/>
      </w:pPr>
      <w:r>
        <w:t xml:space="preserve">nadie adopta: (0; 0).</w:t>
      </w:r>
    </w:p>
    <w:p>
      <w:pPr>
        <w:pStyle w:val="FirstParagraph"/>
      </w:pPr>
      <w:r>
        <w:t xml:space="preserve">¿Podrían convivir con la mitad del mercado cada una? En un reparto simétrico y</w:t>
      </w:r>
      <w:r>
        <w:rPr>
          <w:vertAlign w:val="subscript"/>
        </w:rPr>
        <w:t xml:space="preserve">A</w:t>
      </w:r>
      <w:r>
        <w:t xml:space="preserve"> </w:t>
      </w:r>
      <w:r>
        <w:t xml:space="preserve">= y</w:t>
      </w:r>
      <w:r>
        <w:rPr>
          <w:vertAlign w:val="subscript"/>
        </w:rPr>
        <w:t xml:space="preserve">B</w:t>
      </w:r>
      <w:r>
        <w:t xml:space="preserve"> </w:t>
      </w:r>
      <w:r>
        <w:t xml:space="preserve">= y, cada red vale α(1 + β)y. Con la misma lógica de la sección 5:</w:t>
      </w:r>
    </w:p>
    <w:p>
      <w:pPr>
        <w:pStyle w:val="BodyText"/>
      </w:pPr>
      <w:r>
        <w:rPr>
          <w:bCs/>
          <w:b/>
        </w:rPr>
        <w:t xml:space="preserve">2y² − y + P/(α(1 + β)) = 0 ⇒ y = [1 ± √(1 − 8P/(α(1 + β)))] /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Interoperabilidad 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¿Existe el reparto?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billetera (equilibrio alto)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 crítica de cada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(1 − 8 × 0,16 &lt;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Justo en el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 (total 0,80)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 (total 0,20)</w:t>
            </w:r>
          </w:p>
        </w:tc>
      </w:tr>
    </w:tbl>
    <w:p>
      <w:pPr>
        <w:pStyle w:val="BodyText"/>
      </w:pPr>
      <w:r>
        <w:t xml:space="preserve">Con redes incompatibles,</w:t>
      </w:r>
      <w:r>
        <w:t xml:space="preserve"> </w:t>
      </w:r>
      <w:r>
        <w:rPr>
          <w:bCs/>
          <w:b/>
        </w:rPr>
        <w:t xml:space="preserve">la mitad del mercado no alcanza para sostener una red</w:t>
      </w:r>
      <w:r>
        <w:t xml:space="preserve">: cada mitad queda por debajo de su propia masa crítica. La coexistencia exige al menos β ≥ 8P/α − 1 = 0,28. Además, con β &lt; 1 el reparto es frágil: si una billetera toma una ventaja mínima, la diferencia de utilidad favorece a la más grande y el mercado se inclina hacia ella. Solo la diferenciación de producto (Hotelling, Unidad 7) o el uso de varias billeteras a la vez (</w:t>
      </w:r>
      <w:r>
        <w:rPr>
          <w:iCs/>
          <w:i/>
        </w:rPr>
        <w:t xml:space="preserve">multihoming</w:t>
      </w:r>
      <w:r>
        <w:t xml:space="preserve">) pueden sostener la convivencia con baja interoperabilidad.</w:t>
      </w:r>
    </w:p>
    <w:p>
      <w:pPr>
        <w:pStyle w:val="BodyText"/>
      </w:pPr>
      <w:r>
        <w:rPr>
          <w:bCs/>
          <w:b/>
        </w:rPr>
        <w:t xml:space="preserve">(b) El costo de entrar contra un incumbente.</w:t>
      </w:r>
      <w:r>
        <w:t xml:space="preserve"> </w:t>
      </w:r>
      <w:r>
        <w:t xml:space="preserve">Se supone que A ya tiene y</w:t>
      </w:r>
      <w:r>
        <w:rPr>
          <w:vertAlign w:val="subscript"/>
        </w:rPr>
        <w:t xml:space="preserve">A</w:t>
      </w:r>
      <w:r>
        <w:t xml:space="preserve"> </w:t>
      </w:r>
      <w:r>
        <w:t xml:space="preserve">= 0,8 y cobra P</w:t>
      </w:r>
      <w:r>
        <w:rPr>
          <w:vertAlign w:val="subscript"/>
        </w:rPr>
        <w:t xml:space="preserve">A</w:t>
      </w:r>
      <w:r>
        <w:t xml:space="preserve"> </w:t>
      </w:r>
      <w:r>
        <w:t xml:space="preserve">= 0,16, y que nadie espera que B tenga usuarios (y</w:t>
      </w:r>
      <w:r>
        <w:rPr>
          <w:vertAlign w:val="subscript"/>
        </w:rPr>
        <w:t xml:space="preserve">B</w:t>
      </w:r>
      <w:r>
        <w:t xml:space="preserve">ᵉ = 0). El usuario más intensivo (θ = 1) se pasa a B solo si:</w:t>
      </w:r>
    </w:p>
    <w:p>
      <w:pPr>
        <w:pStyle w:val="BodyText"/>
      </w:pPr>
      <w:r>
        <w:rPr>
          <w:bCs/>
          <w:b/>
        </w:rPr>
        <w:t xml:space="preserve">P</w:t>
      </w:r>
      <w:r>
        <w:rPr>
          <w:vertAlign w:val="subscript"/>
          <w:bCs/>
          <w:b/>
        </w:rPr>
        <w:t xml:space="preserve">B</w:t>
      </w:r>
      <w:r>
        <w:rPr>
          <w:bCs/>
          <w:b/>
        </w:rPr>
        <w:t xml:space="preserve"> </w:t>
      </w:r>
      <w:r>
        <w:rPr>
          <w:bCs/>
          <w:b/>
        </w:rPr>
        <w:t xml:space="preserve">≤ 0,16 − 0,8 · α · (1 − β)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máximo de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debe</w:t>
            </w:r>
            <w:r>
              <w:t xml:space="preserve"> </w:t>
            </w:r>
            <w:r>
              <w:rPr>
                <w:iCs/>
                <w:i/>
              </w:rPr>
              <w:t xml:space="preserve">pagarle</w:t>
            </w:r>
            <w:r>
              <w:t xml:space="preserve"> </w:t>
            </w:r>
            <w:r>
              <w:t xml:space="preserve">al usuario 4 veces el costo de adopción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Sigue siendo necesario un subsidio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Alcanza con ser gratis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Basta igualar el precio del incumbente</w:t>
            </w:r>
          </w:p>
        </w:tc>
      </w:tr>
    </w:tbl>
    <w:p>
      <w:pPr>
        <w:pStyle w:val="BodyText"/>
      </w:pPr>
      <w:r>
        <w:t xml:space="preserve">Sin interoperabilidad,</w:t>
      </w:r>
      <w:r>
        <w:t xml:space="preserve"> </w:t>
      </w:r>
      <w:r>
        <w:t xml:space="preserve">“</w:t>
      </w:r>
      <w:r>
        <w:t xml:space="preserve">comprar</w:t>
      </w:r>
      <w:r>
        <w:t xml:space="preserve">”</w:t>
      </w:r>
      <w:r>
        <w:t xml:space="preserve"> </w:t>
      </w:r>
      <w:r>
        <w:t xml:space="preserve">la red del incumbente cuesta, en el peor escenario de expectativas, alrededor de 0,64 × 0,8 ≈ 0,51. Una vez lograda la red, el beneficio por período es 0,16 × 0,8 = 0,128. Con un factor de descuento δ, la entrada es rentable solo si 0,128 · δ/(1 − δ) ≥ 0,51, es decir, si</w:t>
      </w:r>
      <w:r>
        <w:t xml:space="preserve"> </w:t>
      </w:r>
      <w:r>
        <w:rPr>
          <w:bCs/>
          <w:b/>
        </w:rPr>
        <w:t xml:space="preserve">δ ≥ 0,8</w:t>
      </w:r>
      <w:r>
        <w:t xml:space="preserve">, y eso sin contar la reacción del incumbente. Esto explica las</w:t>
      </w:r>
      <w:r>
        <w:t xml:space="preserve"> </w:t>
      </w:r>
      <w:r>
        <w:rPr>
          <w:bCs/>
          <w:b/>
        </w:rPr>
        <w:t xml:space="preserve">guerras de subsidios</w:t>
      </w:r>
      <w:r>
        <w:t xml:space="preserve"> </w:t>
      </w:r>
      <w:r>
        <w:t xml:space="preserve">de la fase de captura de usuarios. También plantea la discusión de la Unidad 6: ¿precio de penetración o precio predatorio? (Gráfico 6).</w:t>
      </w:r>
    </w:p>
    <w:p>
      <w:pPr>
        <w:pStyle w:val="BodyText"/>
      </w:pPr>
      <w:r>
        <w:rPr>
          <w:iCs/>
          <w:i/>
        </w:rPr>
        <w:t xml:space="preserve">Gráfico 6. Precio máximo que puede cobrar un entrante según el grado de interoperabilidad.</w:t>
      </w:r>
    </w:p>
    <w:p>
      <w:pPr>
        <w:pStyle w:val="BodyText"/>
      </w:pPr>
      <w:r>
        <w:drawing>
          <wp:inline>
            <wp:extent cx="5334000" cy="366712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uras/grafico6_interoperabilida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Elaboración propia · y</w:t>
      </w:r>
      <w:r>
        <w:rPr>
          <w:vertAlign w:val="subscript"/>
        </w:rPr>
        <w:t xml:space="preserve">A</w:t>
      </w:r>
      <w:r>
        <w:t xml:space="preserve"> </w:t>
      </w:r>
      <w:r>
        <w:t xml:space="preserve">= 0,8, y</w:t>
      </w:r>
      <w:r>
        <w:rPr>
          <w:vertAlign w:val="subscript"/>
        </w:rPr>
        <w:t xml:space="preserve">B</w:t>
      </w:r>
      <w:r>
        <w:t xml:space="preserve">ᵉ = 0, P</w:t>
      </w:r>
      <w:r>
        <w:rPr>
          <w:vertAlign w:val="subscript"/>
        </w:rPr>
        <w:t xml:space="preserve">A</w:t>
      </w:r>
      <w:r>
        <w:t xml:space="preserve"> </w:t>
      </w:r>
      <w:r>
        <w:t xml:space="preserve">= 0,16, α = 1</w:t>
      </w:r>
    </w:p>
    <w:p>
      <w:pPr>
        <w:pStyle w:val="BodyText"/>
      </w:pPr>
      <w:r>
        <w:rPr>
          <w:bCs/>
          <w:b/>
        </w:rPr>
        <w:t xml:space="preserve">(c) Con interoperabilidad plena, la competencia pasa a ser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 el mercado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Con β = 1 la red es común y las billeteras son sustitutos perfectos en valor de red. Compiten à la Bertrand (Unidad 5) y el precio cae al costo marginal. Comparando con el caso sin interoperabilidad y con una billetera dominante que cobra el precio de monopolio de la sección 6 (costo marginal nulo):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Sin interoperabilidad, una billetera dominante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Interoperabilidad plena + Bertrand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 ≈ 0,222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(= costo marginal)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 de la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4/27 ≈ 0,148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Excedente de los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4/27 ≈ 0,148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 = 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Bienestar total W = y²(2 − y)/2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8/27 ≈ 0,296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 = 0,5 (máximo)</w:t>
            </w:r>
          </w:p>
        </w:tc>
      </w:tr>
    </w:tbl>
    <w:p>
      <w:pPr>
        <w:pStyle w:val="BodyText"/>
      </w:pPr>
      <w:r>
        <w:t xml:space="preserve">Con costo marginal nulo, interoperabilidad y competencia en precios llevan al</w:t>
      </w:r>
      <w:r>
        <w:t xml:space="preserve"> </w:t>
      </w:r>
      <w:r>
        <w:rPr>
          <w:bCs/>
          <w:b/>
        </w:rPr>
        <w:t xml:space="preserve">óptimo social</w:t>
      </w:r>
      <w:r>
        <w:t xml:space="preserve">. Si en cambio el 0,16 se interpreta como costo de adopción que la competencia no elimina (trámites, aprendizaje), el precio cae a ese nivel y la adopción total vuelve a 0,8, repartida entre las dos billeteras.</w:t>
      </w:r>
    </w:p>
    <w:p>
      <w:pPr>
        <w:pStyle w:val="BodyText"/>
      </w:pPr>
      <w:r>
        <w:rPr>
          <w:bCs/>
          <w:b/>
        </w:rPr>
        <w:t xml:space="preserve">(d) Incentivos: por qué la interoperabilidad suele requerir regulación.</w:t>
      </w:r>
      <w:r>
        <w:t xml:space="preserve"> </w:t>
      </w:r>
      <w:r>
        <w:t xml:space="preserve">La billetera dominante pierde con la interoperabilidad (su beneficio pasa de 0,148 a 0), mientras que los usuarios y el rival ganan. Es el resultado de Crémer, Rey y Tirole (2000):</w:t>
      </w:r>
      <w:r>
        <w:t xml:space="preserve"> </w:t>
      </w:r>
      <w:r>
        <w:rPr>
          <w:bCs/>
          <w:b/>
        </w:rPr>
        <w:t xml:space="preserve">la red grande prefiere no interconectarse</w:t>
      </w:r>
      <w:r>
        <w:t xml:space="preserve">. Por eso la compatibilidad rara vez surge espontáneamente y suele imponerse por regulación, como en el caso del QR interoperable del BCRA (dato a verificar con la fuente oficial). En términos de la Unidad 8, negar la interoperabilidad funciona como una estrategia de</w:t>
      </w:r>
      <w:r>
        <w:t xml:space="preserve"> </w:t>
      </w:r>
      <w:r>
        <w:rPr>
          <w:bCs/>
          <w:b/>
        </w:rPr>
        <w:t xml:space="preserve">cierre de mercado (</w:t>
      </w:r>
      <w:r>
        <w:rPr>
          <w:iCs/>
          <w:i/>
          <w:bCs/>
          <w:b/>
        </w:rPr>
        <w:t xml:space="preserve">foreclosure</w:t>
      </w:r>
      <w:r>
        <w:rPr>
          <w:bCs/>
          <w:b/>
        </w:rPr>
        <w:t xml:space="preserve">)</w:t>
      </w:r>
      <w:r>
        <w:t xml:space="preserve">.</w:t>
      </w:r>
    </w:p>
    <w:p>
      <w:pPr>
        <w:pStyle w:val="BodyText"/>
      </w:pPr>
      <w:r>
        <w:t xml:space="preserve">Dos matices para la discusión: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Bertrand con producto homogéneo es un caso extremo.</w:t>
      </w:r>
      <w:r>
        <w:t xml:space="preserve"> </w:t>
      </w:r>
      <w:r>
        <w:t xml:space="preserve">Si las billeteras se diferencian (servicios financieros, integración con el</w:t>
      </w:r>
      <w:r>
        <w:t xml:space="preserve"> </w:t>
      </w:r>
      <w:r>
        <w:rPr>
          <w:iCs/>
          <w:i/>
        </w:rPr>
        <w:t xml:space="preserve">marketplace</w:t>
      </w:r>
      <w:r>
        <w:t xml:space="preserve">, beneficios bancarios), conservan márgenes positivos aun con β = 1.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Interoperabilidad e innovación.</w:t>
      </w:r>
      <w:r>
        <w:t xml:space="preserve"> </w:t>
      </w:r>
      <w:r>
        <w:t xml:space="preserve">Obligar a la interoperabilidad reduce el premio del pionero que pagó el costo de alcanzar la masa crítica. Es la tensión entre competencia e innovación de la Unidad 10.</w:t>
      </w:r>
    </w:p>
    <w:p>
      <w:pPr>
        <w:pStyle w:val="FirstParagraph"/>
      </w:pPr>
      <w:r>
        <w:t xml:space="preserve">Sobre la colusión, un acuerdo de interoperabilidad entre rivales puede leerse de dos maneras (Unidad 6):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Procompetitivo:</w:t>
      </w:r>
      <w:r>
        <w:t xml:space="preserve"> </w:t>
      </w:r>
      <w:r>
        <w:t xml:space="preserve">baja la masa crítica y el</w:t>
      </w:r>
      <w:r>
        <w:t xml:space="preserve"> </w:t>
      </w:r>
      <w:r>
        <w:rPr>
          <w:iCs/>
          <w:i/>
        </w:rPr>
        <w:t xml:space="preserve">lock-in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Riesgoso:</w:t>
      </w:r>
      <w:r>
        <w:t xml:space="preserve"> </w:t>
      </w:r>
      <w:r>
        <w:t xml:space="preserve">si además coordina comisiones, atenúa la rivalidad.</w:t>
      </w:r>
    </w:p>
    <w:p>
      <w:pPr>
        <w:pStyle w:val="FirstParagraph"/>
      </w:pPr>
      <w:r>
        <w:t xml:space="preserve">El análisis debe separar la compatibilidad técnica, deseable, de la coordinación de precios, que no lo es.</w:t>
      </w:r>
    </w:p>
    <w:bookmarkEnd w:id="30"/>
    <w:bookmarkStart w:id="31" w:name="síntesis-de-las-extensiones"/>
    <w:p>
      <w:pPr>
        <w:pStyle w:val="Heading3"/>
      </w:pPr>
      <w:r>
        <w:t xml:space="preserve">7.3 Síntesis de las extensiones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base (secc. 5–6)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Extensión bilateral (7.1)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Competencia (7.2)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Masa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frontera en (y; m): 20 % de cada lado, o 37,5 % de un solo 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billetera necesita su propia masa crítica; sin interoperabilidad el mercado no puede repartirse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Monopolio: 2/9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  <w:r>
              <w:t xml:space="preserve"> </w:t>
            </w:r>
            <w:r>
              <w:rPr>
                <w:bCs/>
                <w:b/>
              </w:rPr>
              <w:t xml:space="preserve">estructura</w:t>
            </w:r>
            <w:r>
              <w:t xml:space="preserve"> </w:t>
            </w:r>
            <w:r>
              <w:t xml:space="preserve">importa: gratis para el lado más valioso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interoperabilidad, subsidios para entrar; con interoperabilidad, precio igual al costo marginal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Subsidio e interoperabilidad bajan la masa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 al lado</w:t>
            </w:r>
            <w:r>
              <w:t xml:space="preserve"> </w:t>
            </w:r>
            <w:r>
              <w:t xml:space="preserve">“</w:t>
            </w:r>
            <w:r>
              <w:t xml:space="preserve">difícil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interoperabilidad elimina la ventaja de red (1 − β) y requiere regulación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U2, U9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(estructura de precios), U9 (Rochet-Tirole)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(coordinación), U5 (Bertrand), U6 (predación), U7, U8 (</w:t>
            </w:r>
            <w:r>
              <w:rPr>
                <w:iCs/>
                <w:i/>
              </w:rPr>
              <w:t xml:space="preserve">foreclosure</w:t>
            </w:r>
            <w:r>
              <w:t xml:space="preserve">), U10</w:t>
            </w:r>
          </w:p>
        </w:tc>
      </w:tr>
    </w:tbl>
    <w:p>
      <w:pPr>
        <w:pStyle w:val="BodyText"/>
      </w:pPr>
      <w:r>
        <w:rPr>
          <w:iCs/>
          <w:i/>
        </w:rPr>
        <w:t xml:space="preserve">Referencias nuevas a incorporar a la bibliografía:</w:t>
      </w:r>
      <w:r>
        <w:t xml:space="preserve"> </w:t>
      </w:r>
      <w:r>
        <w:t xml:space="preserve">Armstrong (2006); Caillaud y Jullien (2003); Crémer, Rey y Tirole (2000); Rochet y Tirole (2003, 2006). Verificar los datos completos de cada una antes de citarlas.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2026-10-28T21:48:21Z</dcterms:created>
  <dcterms:modified xsi:type="dcterms:W3CDTF">2026-10-28T21:48:21Z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