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D9F5" w14:textId="6C8FFB39" w:rsidR="00D06008" w:rsidRDefault="0027716B" w:rsidP="00BD54AC">
      <w:pPr>
        <w:rPr>
          <w:b/>
          <w:bCs/>
          <w:lang w:val="es-MX"/>
        </w:rPr>
      </w:pPr>
      <w:r w:rsidRPr="00597F2C">
        <w:rPr>
          <w:b/>
          <w:bCs/>
          <w:lang w:val="es-MX"/>
        </w:rPr>
        <w:t xml:space="preserve">TRABAJO PRACTICO </w:t>
      </w:r>
      <w:r w:rsidR="000C1ECC">
        <w:rPr>
          <w:b/>
          <w:bCs/>
          <w:lang w:val="es-MX"/>
        </w:rPr>
        <w:t>6</w:t>
      </w:r>
    </w:p>
    <w:p w14:paraId="65532ADB" w14:textId="77777777" w:rsidR="000C1ECC" w:rsidRPr="000C1ECC" w:rsidRDefault="000C1ECC" w:rsidP="000C1ECC">
      <w:pPr>
        <w:rPr>
          <w:b/>
          <w:bCs/>
        </w:rPr>
      </w:pPr>
      <w:r w:rsidRPr="000C1ECC">
        <w:rPr>
          <w:b/>
          <w:bCs/>
        </w:rPr>
        <w:t xml:space="preserve">Efectos de Red, Masa Crítica y Trampas de Coordinación en Billeteras Virtuales y </w:t>
      </w:r>
      <w:proofErr w:type="spellStart"/>
      <w:r w:rsidRPr="000C1ECC">
        <w:rPr>
          <w:b/>
          <w:bCs/>
        </w:rPr>
        <w:t>FinTech</w:t>
      </w:r>
      <w:proofErr w:type="spellEnd"/>
    </w:p>
    <w:p w14:paraId="3AC0C0E9" w14:textId="40E52DE1" w:rsidR="00E2727A" w:rsidRPr="00597F2C" w:rsidRDefault="00BD54A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 </w:t>
      </w:r>
    </w:p>
    <w:p w14:paraId="3AAA00C8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sz w:val="24"/>
          <w:szCs w:val="24"/>
        </w:rPr>
        <w:t>Plataformas de pago digital y billeteras virtuales (Mercado Pago, MODO) compiten en un mercado bilateral (usuarios vs comercios). El valor de la red para un usuario aumenta a medida que más comercios la aceptan, y viceversa, generando dinámicas de adopción no lineales.</w:t>
      </w:r>
    </w:p>
    <w:p w14:paraId="26ECBF17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b/>
          <w:sz w:val="24"/>
          <w:szCs w:val="24"/>
        </w:rPr>
        <w:t>Datos del Mercado (Enunciado Cuantitativo):</w:t>
      </w:r>
    </w:p>
    <w:p w14:paraId="636BA54D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sz w:val="24"/>
          <w:szCs w:val="24"/>
        </w:rPr>
        <w:t>Resuelva los desarrollos microeconómicos que correspondan a partir de la siguiente información de mercado:</w:t>
      </w:r>
    </w:p>
    <w:p w14:paraId="33B173E8" w14:textId="2C9E79B7" w:rsidR="000C1ECC" w:rsidRPr="000C1ECC" w:rsidRDefault="000C1ECC" w:rsidP="000C1ECC">
      <w:pPr>
        <w:spacing w:line="360" w:lineRule="auto"/>
        <w:jc w:val="center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U = θ · (α · yᵉ) - P</m:t>
          </m:r>
        </m:oMath>
      </m:oMathPara>
    </w:p>
    <w:p w14:paraId="39B86B91" w14:textId="56B02B22" w:rsidR="000C1ECC" w:rsidRPr="000C1ECC" w:rsidRDefault="000C1ECC" w:rsidP="000C1ECC">
      <w:pPr>
        <w:spacing w:line="360" w:lineRule="auto"/>
        <w:jc w:val="center"/>
        <w:rPr>
          <w:sz w:val="24"/>
          <w:szCs w:val="24"/>
        </w:rPr>
      </w:pPr>
      <w:r w:rsidRPr="000C1ECC">
        <w:rPr>
          <w:i/>
          <w:sz w:val="24"/>
          <w:szCs w:val="24"/>
        </w:rPr>
        <w:t xml:space="preserve">Consumidores indexados por </w:t>
      </w:r>
      <w:r w:rsidRPr="000C1ECC">
        <w:rPr>
          <w:i/>
          <w:sz w:val="24"/>
          <w:szCs w:val="24"/>
          <w:lang w:val="en-US"/>
        </w:rPr>
        <w:t>θ</w:t>
      </w:r>
      <w:r w:rsidRPr="000C1ECC">
        <w:rPr>
          <w:i/>
          <w:sz w:val="24"/>
          <w:szCs w:val="24"/>
        </w:rPr>
        <w:t xml:space="preserve"> ~ Uniforme</w:t>
      </w:r>
      <w:r>
        <w:rPr>
          <w:i/>
          <w:sz w:val="24"/>
          <w:szCs w:val="24"/>
        </w:rPr>
        <w:t xml:space="preserve"> </w:t>
      </w:r>
      <w:r w:rsidRPr="000C1ECC">
        <w:rPr>
          <w:i/>
          <w:sz w:val="24"/>
          <w:szCs w:val="24"/>
        </w:rPr>
        <w:t>[0,1] (intensidad de uso). y</w:t>
      </w:r>
      <w:r w:rsidRPr="000C1ECC">
        <w:rPr>
          <w:i/>
          <w:sz w:val="24"/>
          <w:szCs w:val="24"/>
          <w:lang w:val="en-US"/>
        </w:rPr>
        <w:t>ᵉ</w:t>
      </w:r>
      <w:r w:rsidRPr="000C1ECC">
        <w:rPr>
          <w:i/>
          <w:sz w:val="24"/>
          <w:szCs w:val="24"/>
        </w:rPr>
        <w:t xml:space="preserve"> = tamaño esperado de la red (fracción de adoptantes). Intensidad de red </w:t>
      </w:r>
      <w:r w:rsidRPr="000C1ECC">
        <w:rPr>
          <w:i/>
          <w:sz w:val="24"/>
          <w:szCs w:val="24"/>
          <w:lang w:val="en-US"/>
        </w:rPr>
        <w:t>α</w:t>
      </w:r>
      <w:r w:rsidRPr="000C1ECC">
        <w:rPr>
          <w:i/>
          <w:sz w:val="24"/>
          <w:szCs w:val="24"/>
        </w:rPr>
        <w:t xml:space="preserve"> = 1: el valor proviene esencialmente de cuántos la usan.</w:t>
      </w:r>
    </w:p>
    <w:p w14:paraId="73035CCF" w14:textId="77777777" w:rsidR="000C1ECC" w:rsidRPr="000C1ECC" w:rsidRDefault="000C1ECC" w:rsidP="000C1ECC">
      <w:pPr>
        <w:spacing w:line="360" w:lineRule="auto"/>
        <w:jc w:val="center"/>
        <w:rPr>
          <w:sz w:val="24"/>
          <w:szCs w:val="24"/>
        </w:rPr>
      </w:pPr>
      <w:r w:rsidRPr="000C1ECC">
        <w:rPr>
          <w:i/>
          <w:sz w:val="24"/>
          <w:szCs w:val="24"/>
        </w:rPr>
        <w:t>Precio/costo de adopción efectivo: P = 0,16.</w:t>
      </w:r>
    </w:p>
    <w:p w14:paraId="630C67CF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b/>
          <w:sz w:val="24"/>
          <w:szCs w:val="24"/>
        </w:rPr>
        <w:t>Se Solicita:</w:t>
      </w:r>
    </w:p>
    <w:p w14:paraId="6DF75EB7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sz w:val="24"/>
          <w:szCs w:val="24"/>
        </w:rPr>
        <w:t>1. Obtener el consumidor marginal (el indiferente) para un tamaño esperado de red dado.</w:t>
      </w:r>
    </w:p>
    <w:p w14:paraId="45F98F9C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sz w:val="24"/>
          <w:szCs w:val="24"/>
        </w:rPr>
        <w:t>2. Determinar todos los niveles de adopción compatibles con expectativas autocumplidas e identificar cuáles son estables e inestables.</w:t>
      </w:r>
    </w:p>
    <w:p w14:paraId="12073AB4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sz w:val="24"/>
          <w:szCs w:val="24"/>
        </w:rPr>
        <w:t>3. Calcular la masa crítica: la fracción mínima de adoptantes a partir de la cual la red crece por sí sola hasta el equilibrio alto.</w:t>
      </w:r>
    </w:p>
    <w:p w14:paraId="3A63B580" w14:textId="77777777" w:rsidR="000C1ECC" w:rsidRPr="000C1ECC" w:rsidRDefault="000C1ECC" w:rsidP="000C1ECC">
      <w:pPr>
        <w:spacing w:line="360" w:lineRule="auto"/>
        <w:rPr>
          <w:sz w:val="24"/>
          <w:szCs w:val="24"/>
        </w:rPr>
      </w:pPr>
      <w:r w:rsidRPr="000C1ECC">
        <w:rPr>
          <w:sz w:val="24"/>
          <w:szCs w:val="24"/>
        </w:rPr>
        <w:t xml:space="preserve">4. Analizar el fenómeno de </w:t>
      </w:r>
      <w:proofErr w:type="spellStart"/>
      <w:r w:rsidRPr="000C1ECC">
        <w:rPr>
          <w:sz w:val="24"/>
          <w:szCs w:val="24"/>
        </w:rPr>
        <w:t>lock</w:t>
      </w:r>
      <w:proofErr w:type="spellEnd"/>
      <w:r w:rsidRPr="000C1ECC">
        <w:rPr>
          <w:sz w:val="24"/>
          <w:szCs w:val="24"/>
        </w:rPr>
        <w:t>-in e inercia y qué políticas (interoperabilidad, subsidios iniciales) podrían desplazar al mercado hacia el equilibrio de mayor adopción.</w:t>
      </w:r>
    </w:p>
    <w:p w14:paraId="5F9C09CE" w14:textId="4FC86CDB" w:rsidR="0027716B" w:rsidRPr="00F7017A" w:rsidRDefault="0027716B" w:rsidP="003466C3">
      <w:pPr>
        <w:spacing w:line="360" w:lineRule="auto"/>
        <w:rPr>
          <w:sz w:val="24"/>
          <w:szCs w:val="24"/>
        </w:rPr>
      </w:pPr>
    </w:p>
    <w:sectPr w:rsidR="0027716B" w:rsidRPr="00F7017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34587" w14:textId="77777777" w:rsidR="002970DE" w:rsidRDefault="002970DE" w:rsidP="0042412E">
      <w:pPr>
        <w:spacing w:after="0" w:line="240" w:lineRule="auto"/>
      </w:pPr>
      <w:r>
        <w:separator/>
      </w:r>
    </w:p>
  </w:endnote>
  <w:endnote w:type="continuationSeparator" w:id="0">
    <w:p w14:paraId="3D95E5BF" w14:textId="77777777" w:rsidR="002970DE" w:rsidRDefault="002970DE" w:rsidP="00424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BBF2C" w14:textId="77777777" w:rsidR="002970DE" w:rsidRDefault="002970DE" w:rsidP="0042412E">
      <w:pPr>
        <w:spacing w:after="0" w:line="240" w:lineRule="auto"/>
      </w:pPr>
      <w:r>
        <w:separator/>
      </w:r>
    </w:p>
  </w:footnote>
  <w:footnote w:type="continuationSeparator" w:id="0">
    <w:p w14:paraId="7E386E1D" w14:textId="77777777" w:rsidR="002970DE" w:rsidRDefault="002970DE" w:rsidP="00424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E79D" w14:textId="1F260856" w:rsidR="0042412E" w:rsidRDefault="0042412E">
    <w:pPr>
      <w:pStyle w:val="Encabezado"/>
    </w:pPr>
    <w:r>
      <w:rPr>
        <w:noProof/>
      </w:rPr>
      <w:drawing>
        <wp:inline distT="0" distB="0" distL="0" distR="0" wp14:anchorId="66BA0E53" wp14:editId="0AC47606">
          <wp:extent cx="909955" cy="457200"/>
          <wp:effectExtent l="0" t="0" r="4445" b="0"/>
          <wp:docPr id="491297910" name="Imagen 1" descr="Dibujo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1297910" name="Imagen 1" descr="Dibujo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95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58FE07" w14:textId="26F70192" w:rsidR="0042412E" w:rsidRDefault="0042412E" w:rsidP="0042412E">
    <w:pPr>
      <w:pStyle w:val="Encabezado"/>
    </w:pPr>
    <w:r>
      <w:t>ECONOMIA MATEMATICA</w:t>
    </w:r>
  </w:p>
  <w:p w14:paraId="66E5CBE1" w14:textId="77777777" w:rsidR="0042412E" w:rsidRDefault="004241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3E13"/>
    <w:multiLevelType w:val="multilevel"/>
    <w:tmpl w:val="2646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8B6A3C"/>
    <w:multiLevelType w:val="multilevel"/>
    <w:tmpl w:val="908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1543456">
    <w:abstractNumId w:val="0"/>
  </w:num>
  <w:num w:numId="2" w16cid:durableId="131074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6B"/>
    <w:rsid w:val="00051E7C"/>
    <w:rsid w:val="000C1ECC"/>
    <w:rsid w:val="0027716B"/>
    <w:rsid w:val="002970DE"/>
    <w:rsid w:val="002F7D97"/>
    <w:rsid w:val="003466C3"/>
    <w:rsid w:val="0042412E"/>
    <w:rsid w:val="004754F5"/>
    <w:rsid w:val="00597F2C"/>
    <w:rsid w:val="005A43CC"/>
    <w:rsid w:val="005D4FE4"/>
    <w:rsid w:val="00640C08"/>
    <w:rsid w:val="007B2705"/>
    <w:rsid w:val="00996B56"/>
    <w:rsid w:val="00BD54AC"/>
    <w:rsid w:val="00CB3E3D"/>
    <w:rsid w:val="00D06008"/>
    <w:rsid w:val="00E2727A"/>
    <w:rsid w:val="00F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D7E1E"/>
  <w15:chartTrackingRefBased/>
  <w15:docId w15:val="{E899ADCE-EEA6-4CEA-AB14-BFD1ADA1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1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1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1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1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1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1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1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1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1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1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16B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597F2C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4241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12E"/>
  </w:style>
  <w:style w:type="paragraph" w:styleId="Piedepgina">
    <w:name w:val="footer"/>
    <w:basedOn w:val="Normal"/>
    <w:link w:val="PiedepginaCar"/>
    <w:uiPriority w:val="99"/>
    <w:unhideWhenUsed/>
    <w:rsid w:val="004241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SOTERO FERNANDO PABLO SANTIAGO</dc:creator>
  <cp:keywords/>
  <dc:description/>
  <cp:lastModifiedBy>SOTERO FERNANDO PABLO SANTIAGO</cp:lastModifiedBy>
  <cp:revision>2</cp:revision>
  <dcterms:created xsi:type="dcterms:W3CDTF">2026-10-09T18:05:00Z</dcterms:created>
  <dcterms:modified xsi:type="dcterms:W3CDTF">2026-10-09T18:05:00Z</dcterms:modified>
</cp:coreProperties>
</file>