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rPr>
          <w:rFonts w:ascii="Calibri" w:cs="Calibri" w:eastAsia="Calibri" w:hAnsi="Calibri"/>
          <w:b/>
          <w:bCs/>
          <w:color w:val="1F2933"/>
          <w:sz w:val="24"/>
          <w:szCs w:val="24"/>
        </w:rPr>
        <w:t xml:space="preserve">TC-BTB-01 — Authentication, Staff Registration &amp; Patient Account Claiming</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Authentication, Staff Registration &amp; Patient Account Claiming</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TC-BTB-01</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staff and patient accounts can be created and accessed only through the authorized invite-code and claim-slip flows, and that credentials are validated correctly.</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TC-01-01 Login with valid staff credentials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tb_coordinator account exists and is active in the staging project.</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/login. 2. Enter the registered email and password. 3. Click Sign in.</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coordinator.test@bantaytb.ph / Val1dPass!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User is authenticated and redirected to /app/dashboard with the coordinator navigation visible.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redirected to coordinator dashboard.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TC-01-02 Reject login with an incorrect password</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same coordinator account exists.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/login. 2. Enter the correct email with a wrong password. 3. Click Sign in.</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coordinator.test@bantaytb.ph / WrongPass1</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Login is refused with a generic invalid-credentials message; no session is created and the user stays on /login.</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generic error shown, no session.</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TC-01-03 Register staff account using a valid invite code</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system_admin has issued an unused invite code for the health_worker role.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/register/staff. 2. Enter the invite code, name, email, and password. 3. Submit. 4. Sign in with the new account.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Invite code BHW-7KD4-92XQ; bhw.test@bantaytb.ph</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Account is created with the health_worker role and the barangay bound to the invite; the code is marked consumed.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role and barangay match the invite.</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TC-01-04 Reject registration with an already-consumed invite code</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invite code from TC-01-03 has been consumed.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/register/staff. 2. Enter the same invite code with new account details. 3. Submit.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Invite code BHW-7KD4-92XQ (reused)</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Registration is rejected with an invalid-or-used-code message; no second account is created and no role is granted.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code rejected, no account created.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TC-01-05 Patient claims an account with a valid claim slip</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health worker has generated a patient code for an enrolled patient on /app/patient-codes.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/claim. 2. Enter the patient code and surname. 3. Set a password. 4. Submit and sign in.</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Patient code PT-3310-8842; surname Dela Cruz</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patient account is activated with the patient role, is linked to the existing patient record, and lands on the patient view.</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linked to the existing record.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TC-BTB-02 — Role-Based Access Control &amp; Area/Facility Scoping</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Role-Based Access Control &amp; Area/Facility Scoping</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TC-BTB-02</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every role sees only the records its residence barangay or treatment facility allows, and that the restriction holds even when the user interface is bypassed.</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TC-02-01 BHW sees only cases from the assigned barangay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health_worker is assigned to Barangay Talomo; cases exist in Talomo and in Buhangin.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Sign in as the BHW. 2. Open /app/cases. 3. Clear all filters and review the result set.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15 Talomo cases, 12 Buhangin cases seeded</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Only the 15 Talomo cases are listed; no Buhangin case appears in the list or in the total count.</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15 rows, all Talomo.</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TC-02-02 Coordinator reads citywide cases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tb_coordinator account exists; cases are seeded across at least five barangays.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Sign in as the coordinator. 2. Open /app/cases. 3. Compare the total against the seeded total.</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Seeded total: 150 cases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All 150 cases across every barangay are readable, and the barangay filter offers the full citywide list.</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150 cases visible citywide.</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TC-02-03 Block a patient from an admin-only route by direct URL</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patient account is signed in.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Sign in as the patient. 2. Type /app/users directly in the address bar. 3. Repeat for /app/admin and /app/invites.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Routes /app/users, /app/admin, /app/invites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Each route is blocked by the role guard and the patient is redirected away; no admin data is rendered, not even briefly.</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redirected on all three routes.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TC-02-04 Row-level security blocks a cross-barangay query outside the UI</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Talomo BHW session token from TC-02-01 is available.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Call the cases endpoint directly with the BHW token. 2. Filter the query on the Buhangin barangay PSGC. 3. Inspect the response.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Buhangin PSGC 112402021</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query succeeds but returns zero rows; the policy filters the records server-side rather than returning a permission error with data.</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0 rows returned.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TC-02-05 Facility-scoped staff read by treatment facility, not residence</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nurse is assigned to Talomo DOTS Center; it treats patients residing in two different barangays.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Sign in as the nurse. 2. Open /app/cases. 3. Check the residence barangay of every row returned.</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8 cases at Talomo DOTS Center from 2 barangays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All 8 cases treated at the assigned facility are readable regardless of the patient residence barangay, and no case from another facility appears.</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scoped by facility, not residence.</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TC-BTB-03 — Case Filing, Case List &amp; Case Management</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Case Filing, Case List &amp; Case Management</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TC-BTB-03</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a TB case can be filed only with complete and valid data, that it is attributed to the correct residence barangay, treatment facility, and filer, and that the case list retrieves it correctly.</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TC-03-01 File a complete new TB case</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health_worker is signed in; DOTS centers and barangay reference data are loaded.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/app/cases/new. 2. Fill every required field. 3. Select the DOTS treatment facility. 4. Save and reopen the saved record.</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Name R. Santos, age 34, female, pulmonary, bacteriologically confirmed, dx 2026-09-20</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case is saved and reopens with all values intact, stamped with the residence barangay, selected facility, filer identity, and timestamp.</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all fields and attribution intact.</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TC-03-02 Reject a case with required fields left blank</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case form is open on /app/cases/new.</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Leave the diagnosis date and TB site empty. 2. Fill the remaining fields. 3. Click Save.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Diagnosis date = empty; TB site = empty</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Saving is blocked, both empty fields are flagged inline with a clear message, and no partial record reaches the database.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two inline errors, nothing saved.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TC-03-03 Reject an out-of-range age and a future diagnosis date</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case form is open on /app/cases/new.</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Enter age 151. 2. Enter a diagnosis date in the following year. 3. Attempt to save. 4. Retry with age 0 and today's date.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Age 151; diagnosis date 2027-01-15; then age 0</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Both out-of-range values are rejected with field-specific messages; the valid boundary values (age 0, today) are accepted.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boundaries behave correctly.</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TC-03-04 Resolve a residence address to the correct barangay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Barangay boundary data is loaded; the case form is open.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Enter a known street address in the residence field. 2. Let the resolver run. 3. Confirm the matched barangay. 4. Save and verify on /app/map.</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Purok 5, Bangkal, Davao City</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resolver returns Bangkal, the saved record stores the Bangkal PSGC, and the case plots inside the Bangkal boundary on the map.</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resolved and plotted in Bangkal.</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TC-03-05 Filter and search the case list</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At least 30 cases with mixed diagnosis statuses and TB sites exist within the user scope.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/app/cases. 2. Filter by diagnosis status. 3. Add a TB-site filter. 4. Search a surname. 5. Page through the results.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Status = bacteriologically confirmed; site = pulmonary; search "Santos"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Each filter narrows the list correctly, filters combine as an AND, the search matches the surname, and pagination keeps the filters applied.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filters combine and persist across pages.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TC-BTB-04 — Bulk Excel Import &amp; Data Migration</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Bulk Excel Import &amp; Data Migration</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TC-BTB-04</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bulk Excel import persists only valid rows, reports every rejected row, and that replace-all remains reachable by a TB coordinator while field roles can only append.</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TC-04-01 Coordinator imports a valid workbook</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tb_coordinator is signed in; the case count before import is recorded.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/app/import. 2. Upload the valid workbook. 3. Review the preview. 4. Confirm the import. 5. Reconcile the new case count.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dummy_tb_cases.xlsx — 50 valid rows; 150 cases pre-import</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All 50 rows are imported, the count rises to exactly 200, every row keeps its barangay and facility, and the import is logged with the stored file.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200 cases, import logged.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TC-04-02 Import a workbook containing invalid rows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coordinator is signed in; a workbook with three deliberately broken rows is prepared.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Upload the workbook. 2. Review the validation report. 3. Confirm the import. 4. Reconcile the counts.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47 valid rows + 3 invalid (blank date, age "abc", unknown barangay)</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Only the 47 valid rows are persisted; the three bad rows are listed with row numbers and reasons, and no partial record is created for them.</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47 imported, 3 reported with reasons.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TC-04-03 Reject a workbook with the wrong header layout</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coordinator is signed in.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Upload a workbook whose columns are renamed and reordered. 2. Observe the response. 3. Confirm the case count is unchanged.</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Workbook with headers Name/Brgy/Date only</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file is rejected before any row is written, the missing required columns are named, and the case count is unchanged.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rejected, count unchanged.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TC-04-04 Field-role import appends and stamps the importer assignment</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health_worker assigned to Talomo is signed in; 200 cases exist.</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/app/import. 2. Upload a 10-row workbook. 3. Confirm. 4. Inspect the resulting rows and the pre-existing ones.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10-row workbook; importer assigned to Talomo</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10 rows are added for a total of 210, each stamped with the importer assignment; no pre-existing case is modified or removed.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210 cases, prior rows untouched.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TC-04-05 Replace-all is unavailable to field roles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same health_worker session is active.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Inspect /app/import for a replace-all control. 2. Attempt the replace operation directly against the endpoint with the BHW token.</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Health_worker token; replace-all request payload</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No replace-all control is offered, the direct request is refused, and the existing case count stays at 210.</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control absent, request refused.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TC-BTB-05 — GIS Mapping &amp; Geospatial Resolution</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GIS Mapping &amp; Geospatial Resolution</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TC-BTB-05</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cases plot in the correct barangay, that map layers behave as designed, and that the public-facing map exposes aggregated counts only.</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TC-05-01 Plot cases in the correct barangay polygons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At least 150 cases are seeded across 10 or more barangays with resolved addresses.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Sign in as a coordinator. 2. Open /app/map. 3. Enable the barangay boundary layer. 4. Spot-check 30 markers against their stored PSGC.</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30-address spot-check list</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Every checked marker falls inside the polygon of its stored barangay, with no marker stranded outside the city boundary.</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30 of 30 markers correct.</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TC-05-02 Toggle the heatmap and boundary layers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case map is open with markers rendered.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Switch on the heatmap layer. 2. Switch off the marker layer. 3. Zoom from city level to street level. 4. Toggle both layers back.</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Zoom levels 11 to 17</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Layers switch on and off without error, heat intensity follows case density, and the map stays interactive at every zoom level.</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smooth at all zoom levels.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TC-05-03 Public map shows aggregated counts only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user is signed out; cases are seeded citywide.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the public landing page. 2. View the public case map. 3. Open each barangay popup. 4. Inspect the network response for the map data.</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Anonymous session; public barangay counts endpoint</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Only per-barangay counts appear; no name, address, exact coordinate, or case identifier is present in the popups or the underlying response.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counts only, no identifiers in payload.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TC-05-04 DOTS locator lists the nearest facility by device location</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DOTS center coordinates are loaded; browser geolocation is permitted.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/dots-locator. 2. Allow location access. 3. Review the ordering of the listed facilities. 4. Deny location and reload.</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Mock coordinates 7.0731 N, 125.6128 E</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Facilities are ordered nearest-first from the supplied point; when location is denied the page falls back to the full citywide list without errors.</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correct ordering and clean fallback.</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TC-05-05 Flag an address that cannot be resolved precisely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case form is open with the resolver active.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Enter a vague address with no street. 2. Let the resolver run. 3. Observe the fallback result and any warning. 4. Save and review the record.</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"near the old market, Davao City"</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nearest-barangay fallback is applied, the user is warned that the match is approximate, and the saved record is marked as approximate rather than silently treated as exact.</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fallback applied and flagged.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TC-BTB-06 — Hotspot Detection (DBSCAN) &amp; Alert Generation</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Hotspot Detection (DBSCAN) &amp; Alert Generation</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the clustering engine reproduces hand-computed clusters, does not duplicate hotspots on refresh, and raises alerts carrying the correct residence barangay.</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TC-06-01 Clustering matches the hand-computed result</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Synthetic dataset A with manually computed clusters is loaded; baseline parameters are documented.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Set the documented epsilon and minPts. 2. Run the detect-hotspots function. 3. Compare each cluster and noise point against the expected sheet.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Dataset A: 40 points, expected 3 clusters + 4 noise</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engine returns exactly 3 clusters with the same membership as the expected sheet and classifies the same 4 points as noise.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3 clusters, identical membership.</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TC-06-02 Scattered cases produce no hotspot</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Synthetic dataset B contains widely dispersed cases below the minPts threshold.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Keep the baseline parameters. 2. Run detection on dataset B. 3. Review /app/hotspots and /app/alerts.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Dataset B: 12 dispersed points, minPts 5</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No hotspot is created and no alert is raised; the hotspot list shows its empty state rather than an error.</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no hotspot, empty state shown.</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TC-06-03 Repeated refresh does not duplicate hotspots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Dataset A has been processed once and three hotspots exist.</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Record the hotspot IDs and count. 2. Run the refresh twice more without changing the data. 3. Compare IDs and counts.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Dataset A unchanged; 3 existing hotspots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count stays at 3 and the existing records are updated in place rather than duplicated, leaving no orphaned hotspot rows.</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still 3 hotspots after two reruns.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TC-06-04 Alert carries the correct residence barangay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hotspot has been detected from cases residing in Talomo.</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/app/alerts. 2. Open the alert raised for the Talomo cluster. 3. Compare its barangay against the residence barangay of the clustered cases.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Talomo cluster, 6 cases, PSGC 112402044</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Exactly one alert exists for the cluster and it carries the Talomo residence barangay, not the treatment facility barangay.</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residence barangay carried through.</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TC-06-05 Acknowledge and resolve an alert</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An unacknowledged alert exists and a coordinator is signed in.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the alert. 2. Acknowledge it. 3. Reload the page. 4. Mark it resolved. 5. Check the list filters.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Alert ID from TC-06-04</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status moves from new to acknowledged to resolved, persists across reloads with the acting user recorded, and the list filters reflect each state.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transitions persisted with actor recorded.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TC-BTB-07 — Treatment-Adherence Scheduling &amp; SMS Reminder Pipeline</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Treatment-Adherence Scheduling &amp; SMS Reminder Pipeline</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TC-BTB-07</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a treatment schedule generates the correct dose rows, that each due dose produces exactly one localized SMS with an audit record, and that overdue doses are marked missed.</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TC-07-01 Daily schedule generates one row per dose</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patient is enrolled by a health worker and has a valid sandbox mobile number.</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/app/adherence. 2. Create a daily regimen for a 14-day window. 3. Save. 4. Count the generated dose rows and check the first and last dates.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HRZE, 4 tabs, daily, 2026-10-06 to 2026-10-19</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Exactly 14 dose rows are created with status scheduled, the first dated 06 Oct and the last 19 Oct, all linked to the schedule.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14 rows, correct boundary dates.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TC-07-02 Weekly schedule respects the end-date boundary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same enrolled patient; no overlapping schedule exists.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Create a weekly regimen whose window ends mid-week. 2. Save. 3. List the generated dose dates.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Weekly, 2026-10-06 to 2026-11-01 (Mondays)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Doses fall only on the expected weekdays within the window, none is generated past the end date, and none is generated before the start date.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4 doses, none outside the window.</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TC-07-03 Due dose sends one localized SMS with an audit row</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dose is due within the hour; the patient language preference is Cebuano; the provider is in sandbox mode.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Invoke send-adherence-sms. 2. Check the sandbox inbox. 3. Inspect the sms_outbox row. 4. Confirm the message language.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Dose due 08:00; language ceb; sandbox number +639171234567</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Exactly one SMS is dispatched, its body is in Cebuano with the correct medication and dose, and one matching sms_outbox audit row is written.</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one Cebuano SMS, one audit row.</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TC-07-04 Re-running the dispatcher does not duplicate messages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dose from TC-07-03 has already been sent.</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Record the sandbox message count and outbox count. 2. Invoke the function twice more within the same hour. 3. Recount both.</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Same dose; two extra invocations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No additional SMS is sent and no additional audit row is written; the already-sent dose is skipped rather than re-queued.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counts unchanged after two reruns.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TC-07-05 Overdue dose is swept to missed</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dose scheduled in the past remains unconfirmed beyond the grace window.</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Leave the dose unconfirmed past its window. 2. Run the sweep. 3. Check the dose status in the patient view and the staff view.</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Dose due 2026-10-06 08:00, unconfirmed</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dose status changes from scheduled to missed, is reflected in both views, and the patient adherence summary recounts accordingly.</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marked missed in both views.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TC-BTB-08 — Clinical Decision Support, Health Education &amp; Chatbot</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Clinical Decision Support, Health Education &amp; Chatbot</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TC-BTB-08</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screening recommendations follow the clinically reviewed rule table, that education content renders in all three languages, and that the chatbot never diagnoses and always escalates emergencies.</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TC-08-01 Cardinal symptoms produce a presumptive-TB referral</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health_worker is signed in; the CDS rule table is reviewed and signed off.</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/app/cds. 2. Enter a patient with three cardinal symptoms. 3. Submit. 4. Compare the output against the rule table.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Cough 3 weeks + night sweats + weight loss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output flags the patient as presumptive TB and recommends sputum testing and DOTS referral, matching the reviewed rule table exactly.</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matches the reviewed rule row.</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TC-08-02 No qualifying symptoms produce no referral</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CDS screening form is open.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Enter a patient with a two-day cough and no other symptom. 2. Submit. 3. Review the recommendation text.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Cough 2 days, no other symptoms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No presumptive-TB flag is raised; the advice is routine monitoring with clear return-if-worse guidance and no sputum referral.</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no flag, monitoring advice only.</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TC-08-03 Education article renders completely in Cebuano</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patient account is signed in and the Cebuano translation file is complete.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/app/education. 2. Switch the language to Cebuano. 3. Open the tuberculosis article. 4. Scroll through every block and the infographic.</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Language ceb; tuberculosis article</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Every heading, paragraph, list, and infographic label renders in Cebuano with no raw translation key, no English fallback, and no clipped text.</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fully translated, no raw keys.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TC-08-04 Chatbot escalates an emergency prompt</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chatbot function is deployed and reachable.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/app/chatbot. 2. Send an emergency-symptom prompt. 3. Review the reply. 4. Repeat on the public chatbot.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"I am coughing blood and cannot breathe"</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reply directs the user to seek emergency care immediately, offers no self-treatment advice, and behaves identically on the public chatbot.</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immediate-care escalation on both.</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TC-08-05 Chatbot refuses to give a definitive diagnosis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chatbot is open with an anonymous public session.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Ask the bot to confirm a diagnosis. 2. Ask for a prescription and dosage. 3. Ask an unrelated off-topic question.</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"Do I have TB?" / "How many tabs do I take?" / "Who won the 2026 election?"</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bot declines to diagnose or prescribe and refers the user to a health worker; the off-topic question is declined and redirected to TB topics.</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declined all three appropriately.</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TC-BTB-09 — Analytics, Dashboards &amp; Reporting</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Analytics, Dashboards &amp; Reporting</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TC-BTB-09</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every displayed indicator equals its independently computed value, that the same indicator agrees across dashboards, and that presumptive screening yield is never merged with active cases on treatment.</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TC-09-01 Barangay case counts match the database</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seeded dataset is frozen and a coordinator is signed in.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/app/analytics. 2. Record the count for five barangays. 3. Recompute the same counts in SQL. 4. Compare.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Frozen dataset of 200 cases; 5 sampled barangays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All five displayed counts equal the SQL values exactly, and the chart total equals the citywide total within the user scope.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5 of 5 match, total reconciles.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TC-09-02 ACF screening yield is reported separately from active cases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dataset contains both presumptive screening records and active cases on treatment.</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the ACF section of /app/analytics. 2. Record the presumptive yield and the active-case count. 3. Check every total and summary tile for a combined figure.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48 presumptive screened; 72 active on treatment</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two figures are labelled and displayed separately, and no tile, total, or export adds them into a single number such as 120.</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reported separately, no combined total.</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TC-09-03 Date-range filter recomputes every indicator</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Cases are seeded across at least three months.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Apply a one-month range. 2. Record every chart figure. 3. Recompute the same range in SQL. 4. Widen the range and repeat.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Range 2026-09-01 to 2026-09-30, then 2026-07-01 to 2026-09-30</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Every chart recomputes to the SQL value for both ranges, and no chart retains a stale figure from the previous range.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both ranges reconcile exactly.</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TC-09-04 Dashboards agree with analytics on shared indicators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same frozen dataset; coordinator and barangay_admin accounts are available.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Record the active-case count on /app/dashboard. 2. Record the same indicator on /app/analytics and /app/admin. 3. Compare all three.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Active-case indicator across 3 views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indicator is identical in all three views for the same scope and period, with each role seeing the figure for its own scope.</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consistent across all three views.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TC-09-05 Empty and single-record states render cleanly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barangay with no cases exists, and another has exactly one case.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Filter analytics to the empty barangay. 2. Review every chart and tile. 3. Switch to the single-case barangay and repeat.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Barangay with 0 cases; barangay with 1 case</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Charts show a clear empty-state message instead of a broken axis or NaN, and the single-case view renders correct totals without a divide-by-zero error.</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clean empty and single-record states.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TC-BTB-10 — Public Site, Trilingual Support &amp; Cross-Device Usability</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Public Site, Trilingual Support &amp; Cross-Device Usability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TC-BTB-10</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the public pages work on low-end mobile widths, that all three languages are complete, and that core interactions are keyboard accessible and legible.</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TC-10-01 Switch languages across all three options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Translation files for English, Filipino, and Cebuano are complete.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the public landing page. 2. Switch to Filipino and review every section. 3. Switch to Cebuano and repeat. 4. Switch back to English. 5. Reload.</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Languages en, tl, ceb</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Every visible string translates with no raw key or English leftover, the layout holds despite longer text, and the chosen language survives a reload.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complete in all three, persists on reload.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TC-10-02 Public pages fit a 360-pixel phone width</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staging build is deployed and an Android test phone is available.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Open the landing, about, learn, and DOTS locator pages at 360px. 2. Scroll each fully. 3. Open the navigation menu and the chatbot button.</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360 x 800 viewport, Android 13 Chrome</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No page scrolls horizontally, no text or button is clipped, and the navigation and chatbot controls are reachable and tappable at that width.</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no horizontal scroll on any page.</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TC-10-03 Complete the login form using the keyboard only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valid staff account exists; no pointer device is used.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Tab from the top of /login through every control. 2. Enter credentials. 3. Submit with Enter. 4. Tab through an error state.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Keyboard only; valid and invalid credentials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Focus order follows the visual order with a visible focus ring, every field is labelled, the form submits with Enter, and the error message is announced in the focus path.</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full keyboard path, visible focus.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TC-10-04 Lazy-loaded pages show a fallback instead of a blank screen</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deployed build uses route-level code splitting; network throttling is available.</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Throttle the connection to slow 3G. 2. Navigate to a heavy route such as the map. 3. Observe the interval before render. 4. Repeat for analytics.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Slow 3G profile; /app/map and /app/analytics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loading fallback appears immediately and is replaced by the page once the chunk loads; no blank screen, flash of unstyled content, or console error occurs.</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fallback shown on both routes.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TC-10-05 Body text and controls meet the contrast requirement</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staging build is deployed with the final color tokens.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Sample the body text, muted text, link, and primary button colors against their backgrounds. 2. Compute each ratio. 3. Repeat on the dark surfaces.</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Primary, muted, link, and button color pairs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Body text meets at least 4.5:1 and large text and controls at least 3:1 on both light and dark surfaces, with no sampled pair falling below the threshold.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all sampled pairs pass.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p>
      <w:r>
        <w:br w:type="page"/>
      </w:r>
    </w:p>
    <w:p>
      <w:pPr>
        <w:pStyle w:val="Heading1"/>
        <w:spacing w:after="160"/>
      </w:pPr>
      <w:r>
        <w:rPr>
          <w:rFonts w:ascii="Calibri" w:cs="Calibri" w:eastAsia="Calibri" w:hAnsi="Calibri"/>
          <w:b/>
          <w:bCs/>
          <w:color w:val="1F2933"/>
          <w:sz w:val="24"/>
          <w:szCs w:val="24"/>
        </w:rPr>
        <w:t xml:space="preserve">TC-BTB-11 — Regression, Build Integrity &amp; Deployment Readiness</w:t>
      </w: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600"/>
        <w:gridCol w:w="11800"/>
      </w:tblGrid>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PROJECT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BANTAY-TB: Web-Based Tuberculosis Case Surveillance, Hotspot Mapping, and Treatment-Adherence System for Davao City</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MODULE NAME:</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Regression, Build Integrity &amp; Deployment Readiness</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ENVIRONMENT:</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Staging build — Chrome 141 / Edge 141 on Windows 11; Android 13 (Chrome) for mobile checks; Supabase staging project (PostgreSQL + Edge Functions on Deno); Vite dev server and Firebase Hosting preview channel; seeded demo dataset only (no live patient data)</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CREATED BY:</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Jaydee Magkidong — QA Lead, BANTAY-TB Capstone Team</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CREATION:</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1,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DATE OF REVIEW:</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October 8, 2026</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CASE ID:</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TC-BTB-11</w:t>
            </w:r>
          </w:p>
        </w:tc>
      </w:tr>
      <w:tr>
        <w:tc>
          <w:tcPr>
            <w:tcW w:type="dxa" w:w="2600"/>
            <w:shd w:fill="F5F7FA" w:color="auto" w:val="clear"/>
            <w:tcMar>
              <w:top w:type="dxa" w:w="70"/>
              <w:left w:type="dxa" w:w="100"/>
              <w:bottom w:type="dxa" w:w="70"/>
              <w:right w:type="dxa" w:w="100"/>
            </w:tcMar>
            <w:vAlign w:val="top"/>
          </w:tcPr>
          <w:p>
            <w:pPr>
              <w:jc w:val="left"/>
            </w:pPr>
            <w:r>
              <w:rPr>
                <w:rFonts w:ascii="Calibri" w:cs="Calibri" w:eastAsia="Calibri" w:hAnsi="Calibri"/>
                <w:b/>
                <w:bCs/>
                <w:color w:val="1F2933"/>
                <w:sz w:val="17"/>
                <w:szCs w:val="17"/>
              </w:rPr>
              <w:t xml:space="preserve">TEST SCENARIO:</w:t>
            </w:r>
          </w:p>
        </w:tc>
        <w:tc>
          <w:tcPr>
            <w:tcW w:type="dxa" w:w="11800"/>
            <w:tcMar>
              <w:top w:type="dxa" w:w="70"/>
              <w:left w:type="dxa" w:w="100"/>
              <w:bottom w:type="dxa" w:w="70"/>
              <w:right w:type="dxa" w:w="100"/>
            </w:tcMar>
            <w:vAlign w:val="top"/>
          </w:tcPr>
          <w:p>
            <w:pPr>
              <w:jc w:val="left"/>
            </w:pPr>
            <w:r>
              <w:rPr>
                <w:rFonts w:ascii="Calibri" w:cs="Calibri" w:eastAsia="Calibri" w:hAnsi="Calibri"/>
                <w:b w:val="false"/>
                <w:bCs w:val="false"/>
                <w:color w:val="1F2933"/>
                <w:sz w:val="17"/>
                <w:szCs w:val="17"/>
              </w:rPr>
              <w:t xml:space="preserve">Verify that the release candidate passes every automated check, deploys with working routes, leaks no secret into the client bundle, and degrades gracefully when the backend is unreachable.</w:t>
            </w:r>
          </w:p>
        </w:tc>
      </w:tr>
    </w:tbl>
    <w:p>
      <w:pPr>
        <w:spacing w:after="160"/>
      </w:pPr>
    </w:p>
    <w:tbl>
      <w:tblPr>
        <w:tblW w:type="dxa" w:w="14400"/>
        <w:tblBorders>
          <w:top w:val="single" w:color="9AA5B1" w:sz="4"/>
          <w:left w:val="single" w:color="9AA5B1" w:sz="4"/>
          <w:bottom w:val="single" w:color="9AA5B1" w:sz="4"/>
          <w:right w:val="single" w:color="9AA5B1" w:sz="4"/>
          <w:insideH w:val="single" w:color="9AA5B1" w:sz="4"/>
          <w:insideV w:val="single" w:color="9AA5B1" w:sz="4"/>
        </w:tblBorders>
      </w:tblPr>
      <w:tblGrid>
        <w:gridCol w:w="2150"/>
        <w:gridCol w:w="2150"/>
        <w:gridCol w:w="3100"/>
        <w:gridCol w:w="1950"/>
        <w:gridCol w:w="2600"/>
        <w:gridCol w:w="1750"/>
        <w:gridCol w:w="700"/>
      </w:tblGrid>
      <w:tr>
        <w:trPr>
          <w:tblHeader/>
        </w:trPr>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CASE</w:t>
            </w:r>
          </w:p>
        </w:tc>
        <w:tc>
          <w:tcPr>
            <w:tcW w:type="dxa" w:w="21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PRE-CONDITION(S)</w:t>
            </w:r>
          </w:p>
        </w:tc>
        <w:tc>
          <w:tcPr>
            <w:tcW w:type="dxa" w:w="31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PROCEDURE(S)</w:t>
            </w:r>
          </w:p>
        </w:tc>
        <w:tc>
          <w:tcPr>
            <w:tcW w:type="dxa" w:w="19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TEST DATA</w:t>
            </w:r>
          </w:p>
        </w:tc>
        <w:tc>
          <w:tcPr>
            <w:tcW w:type="dxa" w:w="26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EXPECTED RESULT</w:t>
            </w:r>
          </w:p>
        </w:tc>
        <w:tc>
          <w:tcPr>
            <w:tcW w:type="dxa" w:w="175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ACTUAL RESULT</w:t>
            </w:r>
          </w:p>
        </w:tc>
        <w:tc>
          <w:tcPr>
            <w:tcW w:type="dxa" w:w="700"/>
            <w:shd w:fill="E4E7EB" w:color="auto" w:val="clear"/>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STATUS</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TC-11-01 Full automated test suite passes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release candidate is tagged and dependencies are installed.</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Run the unit test suite. 2. Review the summary. 3. Investigate any failure or skipped test.</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npm run test — 13 test files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Every test file passes with no failure and no unexplained skip, and the run completes without an unhandled rejection.</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all 13 files passed.</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TC-11-02 Type check and lint are clean</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same release candidate working tree, with no uncommitted changes.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Run the type check. 2. Run the linter. 3. Confirm both exit cleanly.</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npm run typecheck; npm run lint</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Both complete with zero errors; any remaining warning is reviewed and documented as accepted.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zero errors from both.</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TC-11-03 Production build deploys with working routes</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Firebase Hosting is configured with single-page-app rewrites.</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Build for production. 2. Deploy to the preview channel. 3. Load a deep link such as /app/cases directly. 4. Refresh on that route. 5. Smoke-test one journey per role.</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Deep link /app/cases; 5 role accounts</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build succeeds, the deep link and a refresh on it both resolve instead of 404, and all five role journeys complete on the deployed URL.</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deep links resolve, 5 of 5 journeys pass.</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TC-11-04 No secret appears in the client bundle</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 production build output is available for inspection.</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Search the built assets for service-role and private key patterns. 2. Search for provider tokens and the SMS credentials. 3. Review which environment variables were inlined.</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Built assets under dist/; secret pattern list</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Only the intended public keys are present; no service-role key, SMS credential, or model API key appears anywhere in the shipped assets.</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no private credential in dist.</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r>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TC-11-05 Backend unavailability degrades gracefully</w:t>
            </w:r>
          </w:p>
        </w:tc>
        <w:tc>
          <w:tcPr>
            <w:tcW w:type="dxa" w:w="21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deployed build is loaded and the backend can be blocked at the network layer.</w:t>
            </w:r>
          </w:p>
        </w:tc>
        <w:tc>
          <w:tcPr>
            <w:tcW w:type="dxa" w:w="31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1. Sign in normally. 2. Block requests to the backend. 3. Navigate between pages and submit a form. 4. Restore the connection and retry.</w:t>
            </w:r>
          </w:p>
        </w:tc>
        <w:tc>
          <w:tcPr>
            <w:tcW w:type="dxa" w:w="19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Blocked Supabase host; case form submission</w:t>
            </w:r>
          </w:p>
        </w:tc>
        <w:tc>
          <w:tcPr>
            <w:tcW w:type="dxa" w:w="260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The app shows a clear connection error instead of a blank screen, never reports a failed save as successful, and recovers once the connection is restored.</w:t>
            </w:r>
          </w:p>
        </w:tc>
        <w:tc>
          <w:tcPr>
            <w:tcW w:type="dxa" w:w="1750"/>
            <w:tcMar>
              <w:top w:type="dxa" w:w="70"/>
              <w:left w:type="dxa" w:w="100"/>
              <w:bottom w:type="dxa" w:w="70"/>
              <w:right w:type="dxa" w:w="100"/>
            </w:tcMar>
            <w:vAlign w:val="top"/>
          </w:tcPr>
          <w:p>
            <w:pPr>
              <w:jc w:val="left"/>
            </w:pPr>
            <w:r>
              <w:rPr>
                <w:rFonts w:ascii="Calibri" w:cs="Calibri" w:eastAsia="Calibri" w:hAnsi="Calibri"/>
                <w:b w:val="false"/>
                <w:bCs w:val="false"/>
                <w:color w:val="1F2933"/>
                <w:sz w:val="16"/>
                <w:szCs w:val="16"/>
              </w:rPr>
              <w:t xml:space="preserve">As expected — clear error, no false success, clean recovery.</w:t>
            </w:r>
          </w:p>
        </w:tc>
        <w:tc>
          <w:tcPr>
            <w:tcW w:type="dxa" w:w="700"/>
            <w:tcMar>
              <w:top w:type="dxa" w:w="70"/>
              <w:left w:type="dxa" w:w="100"/>
              <w:bottom w:type="dxa" w:w="70"/>
              <w:right w:type="dxa" w:w="100"/>
            </w:tcMar>
            <w:vAlign w:val="top"/>
          </w:tcPr>
          <w:p>
            <w:pPr>
              <w:jc w:val="center"/>
            </w:pPr>
            <w:r>
              <w:rPr>
                <w:rFonts w:ascii="Calibri" w:cs="Calibri" w:eastAsia="Calibri" w:hAnsi="Calibri"/>
                <w:b/>
                <w:bCs/>
                <w:color w:val="1F2933"/>
                <w:sz w:val="16"/>
                <w:szCs w:val="16"/>
              </w:rPr>
              <w:t xml:space="preserve">Passed</w:t>
            </w:r>
          </w:p>
        </w:tc>
      </w:tr>
    </w:tbl>
    <w:sectPr>
      <w:pgSz w:w="15840" w:h="12240" w:orient="landscape"/>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BANTAY-TB Test Cases</dc:title>
  <dc:creator>Jaydee Magkidong — QA Lead, BANTAY-TB Capstone Team</dc:creator>
  <cp:lastModifiedBy>Un-named</cp:lastModifiedBy>
  <cp:revision>1</cp:revision>
  <dcterms:created xsi:type="dcterms:W3CDTF">2026-10-01T08:24:47.041Z</dcterms:created>
  <dcterms:modified xsi:type="dcterms:W3CDTF">2026-10-01T08:24:47.042Z</dcterms:modified>
</cp:coreProperties>
</file>

<file path=docProps/custom.xml><?xml version="1.0" encoding="utf-8"?>
<Properties xmlns="http://schemas.openxmlformats.org/officeDocument/2006/custom-properties" xmlns:vt="http://schemas.openxmlformats.org/officeDocument/2006/docPropsVTypes"/>
</file>