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240"/>
      </w:pPr>
      <w:r>
        <w:rPr>
          <w:rFonts w:ascii="Calibri" w:cs="Calibri" w:eastAsia="Calibri" w:hAnsi="Calibri"/>
          <w:b/>
          <w:bCs/>
          <w:color w:val="1F2933"/>
          <w:sz w:val="28"/>
          <w:szCs w:val="28"/>
        </w:rPr>
        <w:t xml:space="preserve">TRACEABILITY MATRIX</w:t>
      </w:r>
    </w:p>
    <w:tbl>
      <w:tblPr>
        <w:tblW w:type="dxa" w:w="111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600"/>
        <w:gridCol w:w="8500"/>
      </w:tblGrid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PROJECT NAME</w:t>
            </w:r>
          </w:p>
        </w:tc>
        <w:tc>
          <w:tcPr>
            <w:tcW w:type="dxa" w:w="8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BANTAY-TB: Web-Based Tuberculosis Case Surveillance, Hotspot Mapping, and Treatment-Adherence System for Davao City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CREATED BY</w:t>
            </w:r>
          </w:p>
        </w:tc>
        <w:tc>
          <w:tcPr>
            <w:tcW w:type="dxa" w:w="8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Jaydee Magkidong — QA Lead, BANTAY-TB Capstone Team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DATE OF CREATION</w:t>
            </w:r>
          </w:p>
        </w:tc>
        <w:tc>
          <w:tcPr>
            <w:tcW w:type="dxa" w:w="8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October 1, 2026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DATE OF REVIEW</w:t>
            </w:r>
          </w:p>
        </w:tc>
        <w:tc>
          <w:tcPr>
            <w:tcW w:type="dxa" w:w="8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October 8, 2026</w:t>
            </w:r>
          </w:p>
        </w:tc>
      </w:tr>
    </w:tbl>
    <w:p>
      <w:pPr>
        <w:spacing w:after="140" w:before="240"/>
      </w:pPr>
      <w:r>
        <w:rPr>
          <w:rFonts w:ascii="Calibri" w:cs="Calibri" w:eastAsia="Calibri" w:hAnsi="Calibri"/>
          <w:b/>
          <w:bCs/>
          <w:color w:val="1F2933"/>
          <w:sz w:val="24"/>
          <w:szCs w:val="24"/>
        </w:rPr>
        <w:t xml:space="preserve">Module Coverage Summary</w:t>
      </w:r>
    </w:p>
    <w:tbl>
      <w:tblPr>
        <w:tblW w:type="dxa" w:w="111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1250"/>
        <w:gridCol w:w="5150"/>
        <w:gridCol w:w="1600"/>
        <w:gridCol w:w="1600"/>
        <w:gridCol w:w="1500"/>
      </w:tblGrid>
      <w:tr>
        <w:trPr>
          <w:tblHeader/>
        </w:trPr>
        <w:tc>
          <w:tcPr>
            <w:tcW w:type="dxa" w:w="1250"/>
            <w:shd w:fill="E4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MODULE ID</w:t>
            </w:r>
          </w:p>
        </w:tc>
        <w:tc>
          <w:tcPr>
            <w:tcW w:type="dxa" w:w="5150"/>
            <w:shd w:fill="E4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MODULE</w:t>
            </w:r>
          </w:p>
        </w:tc>
        <w:tc>
          <w:tcPr>
            <w:tcW w:type="dxa" w:w="1600"/>
            <w:shd w:fill="E4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TEST CASES</w:t>
            </w:r>
          </w:p>
        </w:tc>
        <w:tc>
          <w:tcPr>
            <w:tcW w:type="dxa" w:w="1600"/>
            <w:shd w:fill="E4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  <w:tc>
          <w:tcPr>
            <w:tcW w:type="dxa" w:w="1500"/>
            <w:shd w:fill="E4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FAILED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M-01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Authentication, Staff Registration &amp; Patient Account Claiming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M-02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Role-Based Access Control &amp; Area/Facility Scoping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M-03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Case Filing, Case List &amp; Case Management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M-04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Bulk Excel Import &amp; Data Migration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M-05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GIS Mapping &amp; Geospatial Resolution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M-06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Hotspot Detection (DBSCAN) &amp; Alert Generation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M-07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Treatment-Adherence Scheduling &amp; SMS Reminder Pipeline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M-08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Clinical Decision Support, Health Education &amp; Chatbot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M-09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Analytics, Dashboards &amp; Reporting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M-10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Public Site, Trilingual Support &amp; Cross-Device Usability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M-11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Regression, Build Integrity &amp; Deployment Readiness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250"/>
            <w:shd w:fill="E4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TOTAL</w:t>
            </w:r>
          </w:p>
        </w:tc>
        <w:tc>
          <w:tcPr>
            <w:tcW w:type="dxa" w:w="5150"/>
            <w:shd w:fill="E4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All modules</w:t>
            </w:r>
          </w:p>
        </w:tc>
        <w:tc>
          <w:tcPr>
            <w:tcW w:type="dxa" w:w="1600"/>
            <w:shd w:fill="E4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55</w:t>
            </w:r>
          </w:p>
        </w:tc>
        <w:tc>
          <w:tcPr>
            <w:tcW w:type="dxa" w:w="1600"/>
            <w:shd w:fill="E4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55</w:t>
            </w:r>
          </w:p>
        </w:tc>
        <w:tc>
          <w:tcPr>
            <w:tcW w:type="dxa" w:w="1500"/>
            <w:shd w:fill="E4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0</w:t>
            </w:r>
          </w:p>
        </w:tc>
      </w:tr>
    </w:tbl>
    <w:p>
      <w:pPr>
        <w:spacing w:after="140" w:before="240"/>
      </w:pPr>
      <w:r>
        <w:rPr>
          <w:rFonts w:ascii="Calibri" w:cs="Calibri" w:eastAsia="Calibri" w:hAnsi="Calibri"/>
          <w:b/>
          <w:bCs/>
          <w:color w:val="1F2933"/>
          <w:sz w:val="24"/>
          <w:szCs w:val="24"/>
        </w:rPr>
        <w:t xml:space="preserve">Test Case Traceability</w:t>
      </w:r>
    </w:p>
    <w:tbl>
      <w:tblPr>
        <w:tblW w:type="dxa" w:w="111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1250"/>
        <w:gridCol w:w="3500"/>
        <w:gridCol w:w="1450"/>
        <w:gridCol w:w="3900"/>
        <w:gridCol w:w="1000"/>
      </w:tblGrid>
      <w:tr>
        <w:trPr>
          <w:tblHeader/>
        </w:trPr>
        <w:tc>
          <w:tcPr>
            <w:tcW w:type="dxa" w:w="1250"/>
            <w:shd w:fill="E4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MODULE ID</w:t>
            </w:r>
          </w:p>
        </w:tc>
        <w:tc>
          <w:tcPr>
            <w:tcW w:type="dxa" w:w="3500"/>
            <w:shd w:fill="E4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MODULE</w:t>
            </w:r>
          </w:p>
        </w:tc>
        <w:tc>
          <w:tcPr>
            <w:tcW w:type="dxa" w:w="1450"/>
            <w:shd w:fill="E4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TEST CASE ID</w:t>
            </w:r>
          </w:p>
        </w:tc>
        <w:tc>
          <w:tcPr>
            <w:tcW w:type="dxa" w:w="3900"/>
            <w:shd w:fill="E4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TEST CASE</w:t>
            </w:r>
          </w:p>
        </w:tc>
        <w:tc>
          <w:tcPr>
            <w:tcW w:type="dxa" w:w="1000"/>
            <w:shd w:fill="E4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M-01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Authentication, Staff Registration &amp; Patient Account Claiming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TC-01-01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Login with valid staff credentials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M-01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Authentication, Staff Registration &amp; Patient Account Claiming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TC-01-02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Reject login with an incorrect password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M-01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Authentication, Staff Registration &amp; Patient Account Claiming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TC-01-03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Register staff account using a valid invite code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M-01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Authentication, Staff Registration &amp; Patient Account Claiming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TC-01-04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Reject registration with an already-consumed invite code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M-01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Authentication, Staff Registration &amp; Patient Account Claiming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TC-01-05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Patient claims an account with a valid claim slip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Role-Based Access Control &amp; Area/Facility Scoping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TC-02-01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BHW sees only cases from the assigned barangay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Role-Based Access Control &amp; Area/Facility Scoping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TC-02-02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Coordinator reads citywide cases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Role-Based Access Control &amp; Area/Facility Scoping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TC-02-03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Block a patient from an admin-only route by direct URL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Role-Based Access Control &amp; Area/Facility Scoping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TC-02-04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Row-level security blocks a cross-barangay query outside the UI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Role-Based Access Control &amp; Area/Facility Scoping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TC-02-05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Facility-scoped staff read by treatment facility, not residence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M-03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Case Filing, Case List &amp; Case Management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TC-03-01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File a complete new TB case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M-03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Case Filing, Case List &amp; Case Management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TC-03-02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Reject a case with required fields left blank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M-03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Case Filing, Case List &amp; Case Management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TC-03-03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Reject an out-of-range age and a future diagnosis date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M-03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Case Filing, Case List &amp; Case Management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TC-03-04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Resolve a residence address to the correct barangay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M-03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Case Filing, Case List &amp; Case Management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TC-03-05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Filter and search the case list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M-04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Bulk Excel Import &amp; Data Migration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TC-04-01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Coordinator imports a valid workbook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M-04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Bulk Excel Import &amp; Data Migration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TC-04-02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Import a workbook containing invalid rows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M-04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Bulk Excel Import &amp; Data Migration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TC-04-03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Reject a workbook with the wrong header layout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M-04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Bulk Excel Import &amp; Data Migration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TC-04-04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Field-role import appends and stamps the importer assignment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M-04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Bulk Excel Import &amp; Data Migration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TC-04-05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Replace-all is unavailable to field roles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M-05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GIS Mapping &amp; Geospatial Resolution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TC-05-01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Plot cases in the correct barangay polygons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M-05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GIS Mapping &amp; Geospatial Resolution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TC-05-02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Toggle the heatmap and boundary layers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M-05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GIS Mapping &amp; Geospatial Resolution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TC-05-03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Public map shows aggregated counts only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M-05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GIS Mapping &amp; Geospatial Resolution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TC-05-04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DOTS locator lists the nearest facility by device location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M-05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GIS Mapping &amp; Geospatial Resolution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TC-05-05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Flag an address that cannot be resolved precisely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M-06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Hotspot Detection (DBSCAN) &amp; Alert Generation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TC-06-01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Clustering matches the hand-computed result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M-06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Hotspot Detection (DBSCAN) &amp; Alert Generation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TC-06-02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Scattered cases produce no hotspot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M-06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Hotspot Detection (DBSCAN) &amp; Alert Generation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TC-06-03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Repeated refresh does not duplicate hotspots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M-06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Hotspot Detection (DBSCAN) &amp; Alert Generation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TC-06-04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Alert carries the correct residence barangay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M-06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Hotspot Detection (DBSCAN) &amp; Alert Generation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TC-06-05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Acknowledge and resolve an alert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M-07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Treatment-Adherence Scheduling &amp; SMS Reminder Pipeline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TC-07-01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Daily schedule generates one row per dose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M-07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Treatment-Adherence Scheduling &amp; SMS Reminder Pipeline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TC-07-02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Weekly schedule respects the end-date boundary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M-07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Treatment-Adherence Scheduling &amp; SMS Reminder Pipeline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TC-07-03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Due dose sends one localized SMS with an audit row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M-07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Treatment-Adherence Scheduling &amp; SMS Reminder Pipeline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TC-07-04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Re-running the dispatcher does not duplicate messages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M-07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Treatment-Adherence Scheduling &amp; SMS Reminder Pipeline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TC-07-05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Overdue dose is swept to missed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M-08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Clinical Decision Support, Health Education &amp; Chatbot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TC-08-01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Cardinal symptoms produce a presumptive-TB referral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M-08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Clinical Decision Support, Health Education &amp; Chatbot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TC-08-02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No qualifying symptoms produce no referral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M-08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Clinical Decision Support, Health Education &amp; Chatbot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TC-08-03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Education article renders completely in Cebuano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M-08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Clinical Decision Support, Health Education &amp; Chatbot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TC-08-04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Chatbot escalates an emergency prompt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M-08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Clinical Decision Support, Health Education &amp; Chatbot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TC-08-05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Chatbot refuses to give a definitive diagnosis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M-09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Analytics, Dashboards &amp; Reporting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TC-09-01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Barangay case counts match the database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M-09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Analytics, Dashboards &amp; Reporting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TC-09-02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ACF screening yield is reported separately from active cases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M-09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Analytics, Dashboards &amp; Reporting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TC-09-03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Date-range filter recomputes every indicator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M-09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Analytics, Dashboards &amp; Reporting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TC-09-04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Dashboards agree with analytics on shared indicators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M-09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Analytics, Dashboards &amp; Reporting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TC-09-05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Empty and single-record states render cleanly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M-10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Public Site, Trilingual Support &amp; Cross-Device Usability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TC-10-01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Switch languages across all three options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M-10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Public Site, Trilingual Support &amp; Cross-Device Usability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TC-10-02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Public pages fit a 360-pixel phone width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M-10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Public Site, Trilingual Support &amp; Cross-Device Usability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TC-10-03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Complete the login form using the keyboard only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M-10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Public Site, Trilingual Support &amp; Cross-Device Usability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TC-10-04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Lazy-loaded pages show a fallback instead of a blank screen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M-10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Public Site, Trilingual Support &amp; Cross-Device Usability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TC-10-05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Body text and controls meet the contrast requirement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M-11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Regression, Build Integrity &amp; Deployment Readiness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TC-11-01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Full automated test suite passes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M-11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Regression, Build Integrity &amp; Deployment Readiness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TC-11-02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Type check and lint are clean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M-11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Regression, Build Integrity &amp; Deployment Readiness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TC-11-03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Production build deploys with working routes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M-11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Regression, Build Integrity &amp; Deployment Readiness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TC-11-04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No secret appears in the client bundle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  <w:tr>
        <w:tc>
          <w:tcPr>
            <w:tcW w:type="dxa" w:w="12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M-11</w:t>
            </w:r>
          </w:p>
        </w:tc>
        <w:tc>
          <w:tcPr>
            <w:tcW w:type="dxa" w:w="35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Regression, Build Integrity &amp; Deployment Readiness</w:t>
            </w:r>
          </w:p>
        </w:tc>
        <w:tc>
          <w:tcPr>
            <w:tcW w:type="dxa" w:w="145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TC-11-05</w:t>
            </w:r>
          </w:p>
        </w:tc>
        <w:tc>
          <w:tcPr>
            <w:tcW w:type="dxa" w:w="39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Backend unavailability degrades gracefully</w:t>
            </w:r>
          </w:p>
        </w:tc>
        <w:tc>
          <w:tcPr>
            <w:tcW w:type="dxa" w:w="1000"/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Passed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i/>
          <w:iCs/>
          <w:color w:val="1F2933"/>
          <w:sz w:val="16"/>
          <w:szCs w:val="16"/>
        </w:rPr>
        <w:t xml:space="preserve">Module IDs M-01 to M-11 correspond to test items TI-01 to TI-11 of test plan BTB-TP-001. Every test case listed here is specified in full (pre-conditions, procedures, test data, and expected result) in the BANTAY-TB Test Cases document under the matching test case ID.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BANTAY-TB Traceability Matrix</dc:title>
  <dc:creator>Jaydee Magkidong — QA Lead, BANTAY-TB Capstone Team</dc:creator>
  <cp:lastModifiedBy>Un-named</cp:lastModifiedBy>
  <cp:revision>1</cp:revision>
  <dcterms:created xsi:type="dcterms:W3CDTF">2026-10-01T08:27:06.897Z</dcterms:created>
  <dcterms:modified xsi:type="dcterms:W3CDTF">2026-10-01T08:27:06.897Z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