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b/>
          <w:color w:val="1B365D"/>
          <w:sz w:val="56"/>
        </w:rPr>
        <w:t>CesuChess</w:t>
      </w:r>
    </w:p>
    <w:p>
      <w:pPr>
        <w:spacing w:after="240"/>
      </w:pPr>
      <w:r>
        <w:rPr>
          <w:color w:val="5C768D"/>
          <w:sz w:val="32"/>
        </w:rPr>
        <w:t>Plataforma de Xadrez Online</w:t>
      </w:r>
    </w:p>
    <w:p>
      <w:pPr>
        <w:spacing w:after="480"/>
      </w:pPr>
      <w:r>
        <w:rPr>
          <w:b/>
          <w:color w:val="1B365D"/>
          <w:sz w:val="40"/>
        </w:rPr>
        <w:t>Documentação de Casos de Teste</w:t>
      </w:r>
    </w:p>
    <w:p>
      <w:pPr>
        <w:spacing w:after="720"/>
      </w:pPr>
      <w:r>
        <w:rPr>
          <w:color w:val="666666"/>
          <w:sz w:val="20"/>
        </w:rPr>
        <w:t>Versão 2.0  |  Sprint 3  |  26/05/2026</w:t>
      </w:r>
    </w:p>
    <w:p>
      <w:pPr>
        <w:spacing w:before="360" w:after="120"/>
      </w:pPr>
      <w:r>
        <w:rPr>
          <w:b/>
          <w:color w:val="1B365D"/>
          <w:sz w:val="28"/>
        </w:rPr>
        <w:t>1. Introdução</w:t>
      </w:r>
    </w:p>
    <w:p>
      <w:r>
        <w:t>Este documento detalha o planeamento e a execução da suíte de testes automatizados referentes às funcionalidades da Sprint 2 do projeto CesuChess. Os testes garantem a qualidade das regras de negócio (validações) e a correta integração com serviços externos.</w:t>
        <w:br/>
        <w:br/>
        <w:t>Os casos de teste estão divididos entre testes unitários para a camada de validação isolada (previniendo a entrada de dados incorretos na base de dados PostgreSQL) e testes de integração para consumo de APIs externas. Cada caso de teste segue a estrutura tabular padronizada contendo identificador, nome do teste, objetivo, pré-condições, dados de entrada, passos de execução, resultado esperado e status de aprovação.</w:t>
      </w:r>
    </w:p>
    <w:p>
      <w:pPr>
        <w:spacing w:before="480" w:after="240"/>
      </w:pPr>
      <w:r>
        <w:rPr>
          <w:b/>
          <w:color w:val="1B365D"/>
          <w:sz w:val="28"/>
        </w:rPr>
        <w:t>2. Casos de Teste</w:t>
      </w:r>
    </w:p>
    <w:p>
      <w:pPr>
        <w:keepNext/>
        <w:spacing w:before="280" w:after="80"/>
      </w:pPr>
      <w:r>
        <w:rPr>
          <w:b/>
          <w:color w:val="1B365D"/>
          <w:sz w:val="24"/>
        </w:rPr>
        <w:t>CT-01 — Validação de E-mail Correto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CT-01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Validação de E-mail Correto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Verificar se o sistema aceita formatos válidos de correio eletrónico.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O validador validateEmail deve estar acessível.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Fluxo / Passos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Dados de Entrada: player@cesuchess.com</w:t>
              <w:br/>
              <w:br/>
              <w:t>Executar a função com o dado de entrada.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A função deve retornar null (indicando ausência de erros).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color w:val="2E7D32"/>
                <w:sz w:val="20"/>
              </w:rPr>
              <w:t>🟢 Aprovado (Tempo de execução: ~1ms)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1B365D"/>
          <w:sz w:val="24"/>
        </w:rPr>
        <w:t>CT-02 — Rejeição de E-mail Inválido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CT-02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Rejeição de E-mail Inválido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Impedir o registo de utilizadores com e-mails mal formatados.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N/A.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Fluxo / Passos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Dados de Entrada: magnuscarlsen.com (sem o caractere @).</w:t>
              <w:br/>
              <w:br/>
              <w:t>Executar a função com o dado de entrada.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A função deve retornar a string "Formato de e-mail inválido.".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color w:val="2E7D32"/>
                <w:sz w:val="20"/>
              </w:rPr>
              <w:t>🟢 Aprovado (Tempo de execução: ~1ms)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1B365D"/>
          <w:sz w:val="24"/>
        </w:rPr>
        <w:t>CT-03 — Validação de Palavra-Passe Forte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CT-03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Validação de Palavra-Passe Forte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Garantir que o sistema aceita palavras-passe que cumprem o requisito mínimo de segurança.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N/A.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Fluxo / Passos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Dados de Entrada: e4e5Gf3Nc6 (10 caracteres).</w:t>
              <w:br/>
              <w:br/>
              <w:t>Executar a função validateSenha.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A função deve retornar null (aprovado).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color w:val="2E7D32"/>
                <w:sz w:val="20"/>
              </w:rPr>
              <w:t>🟢 Aprovado (Tempo de execução: ~1ms)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1B365D"/>
          <w:sz w:val="24"/>
        </w:rPr>
        <w:t>CT-04 — Rejeição de Palavra-Passe Fraca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CT-04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Rejeição de Palavra-Passe Fraca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Bloquear a criação de palavras-passe com menos de 8 caracteres.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N/A.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Fluxo / Passos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Dados de Entrada: 12345 (5 caracteres).</w:t>
              <w:br/>
              <w:br/>
              <w:t>Executar a função validateSenha.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A função deve retornar a string "Senha deve ter no mínimo 8 caracteres.".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color w:val="2E7D32"/>
                <w:sz w:val="20"/>
              </w:rPr>
              <w:t>🟢 Aprovado (Tempo de execução: ~1ms)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1B365D"/>
          <w:sz w:val="24"/>
        </w:rPr>
        <w:t>CT-05 — Validação de Nome Correto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CT-05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Validação de Nome Correto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Verificar se o sistema aceita nomes dentro dos limites permitidos.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O validador validateNome deve estar acessível.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Fluxo / Passos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Dados de Entrada: Magnus</w:t>
              <w:br/>
              <w:br/>
              <w:t>Executar a função com o dado de entrada.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A função deve retornar null (indicando ausência de erros).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color w:val="2E7D32"/>
                <w:sz w:val="20"/>
              </w:rPr>
              <w:t>🟢 Aprovado (Tempo de execução: ~1ms)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1B365D"/>
          <w:sz w:val="24"/>
        </w:rPr>
        <w:t>CT-06 — Rejeição de Nome Muito Curto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CT-06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Rejeição de Nome Muito Curto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Bloquear o registo de utilizadores com nomes abaixo do mínimo de 2 caracteres.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N/A.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Fluxo / Passos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Dados de Entrada: A (1 caractere).</w:t>
              <w:br/>
              <w:br/>
              <w:t>Executar a função validateNome com o dado de entrada.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A função deve retornar a string "Nome deve ter no mínimo 2 caracteres.".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color w:val="2E7D32"/>
                <w:sz w:val="20"/>
              </w:rPr>
              <w:t>🟢 Aprovado (Tempo de execução: ~1ms)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1B365D"/>
          <w:sz w:val="24"/>
        </w:rPr>
        <w:t>CT-07 — Rejeição de Nome Muito Longo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CT-07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Rejeição de Nome Muito Longo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Bloquear o registo de utilizadores com nomes acima do máximo de 80 caracteres.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N/A.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Fluxo / Passos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Dados de Entrada: String de 81 caracteres ("A" repetido 81 vezes).</w:t>
              <w:br/>
              <w:br/>
              <w:t>Executar a função validateNome com o dado de entrada.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A função deve retornar a string "Nome deve ter no máximo 80 caracteres.".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color w:val="2E7D32"/>
                <w:sz w:val="20"/>
              </w:rPr>
              <w:t>🟢 Aprovado (Tempo de execução: ~1ms)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1B365D"/>
          <w:sz w:val="24"/>
        </w:rPr>
        <w:t>CT-08 — Validação de Sobrenome Correto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CT-08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Validação de Sobrenome Correto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Verificar se o sistema aceita sobrenomes dentro dos limites permitidos.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O validador validateSobrenome deve estar acessível.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Fluxo / Passos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Dados de Entrada: Carlsen</w:t>
              <w:br/>
              <w:br/>
              <w:t>Executar a função com o dado de entrada.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A função deve retornar null (indicando ausência de erros).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color w:val="2E7D32"/>
                <w:sz w:val="20"/>
              </w:rPr>
              <w:t>🟢 Aprovado (Tempo de execução: ~1ms)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1B365D"/>
          <w:sz w:val="24"/>
        </w:rPr>
        <w:t>CT-09 — Rejeição de Sobrenome Muito Curto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CT-09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Rejeição de Sobrenome Muito Curto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Bloquear o registo de utilizadores com sobrenomes abaixo do mínimo de 2 caracteres.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N/A.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Fluxo / Passos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Dados de Entrada: C (1 caractere).</w:t>
              <w:br/>
              <w:br/>
              <w:t>Executar a função validateSobrenome com o dado de entrada.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A função deve retornar a string "Sobrenome deve ter no mínimo 2 caracteres.".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color w:val="2E7D32"/>
                <w:sz w:val="20"/>
              </w:rPr>
              <w:t>🟢 Aprovado (Tempo de execução: ~1ms)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1B365D"/>
          <w:sz w:val="24"/>
        </w:rPr>
        <w:t>CT-10 — Rejeição de Sobrenome Muito Longo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CT-10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Rejeição de Sobrenome Muito Longo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Bloquear o registo de utilizadores com sobrenomes acima do máximo de 80 caracteres.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N/A.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Fluxo / Passos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Dados de Entrada: String de 81 caracteres ("C" repetido 81 vezes).</w:t>
              <w:br/>
              <w:br/>
              <w:t>Executar a função validateSobrenome com o dado de entrada.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A função deve retornar a string "Sobrenome deve ter no máximo 80 caracteres.".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color w:val="2E7D32"/>
                <w:sz w:val="20"/>
              </w:rPr>
              <w:t>🟢 Aprovado (Tempo de execução: ~1ms)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1B365D"/>
          <w:sz w:val="24"/>
        </w:rPr>
        <w:t>CT-11 — Validação de Username Correto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CT-11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Validação de Username Correto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Verificar se o sistema aceita usernames no formato permitido (letras, números e _).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O validador validateUsername deve estar acessível.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Fluxo / Passos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Dados de Entrada: magnus_99</w:t>
              <w:br/>
              <w:br/>
              <w:t>Executar a função com o dado de entrada.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A função deve retornar null (indicando ausência de erros).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color w:val="2E7D32"/>
                <w:sz w:val="20"/>
              </w:rPr>
              <w:t>🟢 Aprovado (Tempo de execução: ~1ms)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1B365D"/>
          <w:sz w:val="24"/>
        </w:rPr>
        <w:t>CT-12 — Rejeição de Username Muito Curto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CT-12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Rejeição de Username Muito Curto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Bloquear usernames com menos de 3 caracteres.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N/A.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Fluxo / Passos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Dados de Entrada: ab (2 caracteres).</w:t>
              <w:br/>
              <w:br/>
              <w:t>Executar a função validateUsername com o dado de entrada.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A função deve retornar a string "Username deve ter 3-40 caracteres (letras, números ou _).".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color w:val="2E7D32"/>
                <w:sz w:val="20"/>
              </w:rPr>
              <w:t>🟢 Aprovado (Tempo de execução: ~1ms)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1B365D"/>
          <w:sz w:val="24"/>
        </w:rPr>
        <w:t>CT-13 — Rejeição de Username Muito Longo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CT-13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Rejeição de Username Muito Longo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Bloquear usernames com mais de 40 caracteres.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N/A.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Fluxo / Passos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Dados de Entrada: String de 41 caracteres ("a" repetido 41 vezes).</w:t>
              <w:br/>
              <w:br/>
              <w:t>Executar a função validateUsername com o dado de entrada.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A função deve retornar a string "Username deve ter 3-40 caracteres (letras, números ou _).".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color w:val="2E7D32"/>
                <w:sz w:val="20"/>
              </w:rPr>
              <w:t>🟢 Aprovado (Tempo de execução: ~1ms)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1B365D"/>
          <w:sz w:val="24"/>
        </w:rPr>
        <w:t>CT-14 — Rejeição de Username com Caracteres Especiais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CT-14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Rejeição de Username com Caracteres Especiais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Bloquear usernames que contenham caracteres não permitidos pela regra de negócio.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N/A.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Fluxo / Passos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Dados de Entrada: magnus@99 (contém @).</w:t>
              <w:br/>
              <w:br/>
              <w:t>Executar a função validateUsername com o dado de entrada.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A função deve retornar a string "Username deve ter 3-40 caracteres (letras, números ou _).".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color w:val="2E7D32"/>
                <w:sz w:val="20"/>
              </w:rPr>
              <w:t>🟢 Aprovado (Tempo de execução: ~1ms)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1B365D"/>
          <w:sz w:val="24"/>
        </w:rPr>
        <w:t>CT-15 — firstError Sem Erros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CT-15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firstError Sem Erros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Verificar que a função auxiliar retorna null quando todas as validações passam.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O utilitário firstError deve estar acessível.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Fluxo / Passos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Dados de Entrada: firstError(null, null, null)</w:t>
              <w:br/>
              <w:br/>
              <w:t>Executar a função com três argumentos null.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A função deve retornar null.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color w:val="2E7D32"/>
                <w:sz w:val="20"/>
              </w:rPr>
              <w:t>🟢 Aprovado (Tempo de execução: ~1ms)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1B365D"/>
          <w:sz w:val="24"/>
        </w:rPr>
        <w:t>CT-16 — firstError Retorna o Primeiro Erro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CT-16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firstError Retorna o Primeiro Erro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Verificar que a função retorna corretamente o primeiro erro da sequência, ignorando os subsequentes.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N/A.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Fluxo / Passos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Dados de Entrada: firstError(null, 'Erro B', 'Erro C')</w:t>
              <w:br/>
              <w:br/>
              <w:t>Executar a função com o dado de entrada.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A função deve retornar a string "Erro B".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color w:val="2E7D32"/>
                <w:sz w:val="20"/>
              </w:rPr>
              <w:t>🟢 Aprovado (Tempo de execução: ~1ms)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1B365D"/>
          <w:sz w:val="24"/>
        </w:rPr>
        <w:t>CT-17 — Integração com Lichess API (Puzzle Diário)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514"/>
        <w:gridCol w:w="4514"/>
      </w:tblGrid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CT-17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Integração com Lichess API (Puzzle Diário)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Consumir a API pública do Lichess e garantir que a estrutura de dados recebida é compatível com o sistema interno.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Pré-condições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Servidor com acesso à Internet; API do Lichess operacional.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Fluxo / Passos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Dados de Entrada: Identificador daily enviado para o serviço fetchPuzzleById.</w:t>
              <w:br/>
              <w:br/>
              <w:t>1. Efetuar a chamada HTTP ao serviço proxy.</w:t>
              <w:br/>
              <w:t>2. Aguardar a resolução da Promise.</w:t>
              <w:br/>
              <w:t>3. Validar a presença dos objetos puzzle e game na resposta.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Resposta estruturada sem erros e contendo os dados do tabuleiro e solução.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</w:pPr>
            <w:r>
              <w:rPr>
                <w:b/>
                <w:color w:val="2E7D32"/>
                <w:sz w:val="20"/>
              </w:rPr>
              <w:t>🟢 Aprovado (Tempo de execução: ~1200ms)</w:t>
            </w:r>
          </w:p>
        </w:tc>
      </w:tr>
    </w:tbl>
    <w:p>
      <w:pPr>
        <w:spacing w:after="120"/>
      </w:pPr>
    </w:p>
    <w:p/>
    <w:p>
      <w:pPr>
        <w:pStyle w:val="Heading2"/>
      </w:pPr>
      <w:r>
        <w:t>3. Casos de Teste — Sprint 3</w:t>
      </w:r>
    </w:p>
    <w:p>
      <w:r>
        <w:t>Esta seção complementa a documentação existente com os casos de teste introduzidos pelos novos CRUDs e pelas suítes de integração e E2E entregues no Sprint 3. Os identificadores continuam a numeração da Sprint 2, começando em CT-18.</w:t>
      </w:r>
    </w:p>
    <w:p>
      <w:r>
        <w:rPr>
          <w:b/>
        </w:rPr>
        <w:t>CT-18 — applyMove — lance legal de abertura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CT-18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applyMove — lance legal de abertura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Verificar que o engine aceita o lance e2→e4 nas brancas a partir da posição inicial.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chessEngine.applyMove disponível; chess.js instalado.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Dados de entrada: nova instância Chess(), origem "e2", destino "e4".</w:t>
              <w:br/>
              <w:t>Passos: chamar applyMove(game, "e2", "e4").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A função deve retornar uma NOVA instância Chess (imutabilidade preservada), com history() contendo "e4" e turn() = "b".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>
      <w:r>
        <w:rPr>
          <w:b/>
        </w:rPr>
        <w:t>CT-19 — applyMove — lance ilegal rejeitado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CT-19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applyMove — lance ilegal rejeitado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Verificar que tentar avançar peão de e2 para e5 retorna null sem modificar o estado original (RN-090 cláusula 2).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Engine disponível.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Dados de entrada: Chess(), origem "e2", destino "e5".</w:t>
              <w:br/>
              <w:t>Passos: chamar applyMove(game, "e2", "e5").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A função deve retornar null. O game original deve permanecer com history() vazio.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>
      <w:r>
        <w:rPr>
          <w:b/>
        </w:rPr>
        <w:t>CT-20 — applyMove — promoção automática a Dama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CT-20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applyMove — promoção automática a Dama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Verificar que quando um peão branco em a7 é movido para a8, ele é promovido a Dama (RN-042).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FEN específica preparada com peão branco em a7.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Dados de entrada: Chess("8/P7/8/8/8/8/8/4K2k w - - 0 1"), origem "a7", destino "a8".</w:t>
              <w:br/>
              <w:t>Passos: chamar applyMove e inspecionar a peça em a8.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A peça em a8 deve ser do tipo "q" (Dama) e cor "w" (branca).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>
      <w:r>
        <w:rPr>
          <w:b/>
        </w:rPr>
        <w:t>CT-21 — encodeSession + decodeSession — round-trip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CT-21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encodeSession + decodeSession — round-trip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Garantir que o cookie de sessão codificado pode ser decodificado de volta para o mesmo usuarioId.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SESSION_SECRET configurado no ambiente.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Passos: encodeSession(uuid) → cookie; decodeSession(cookie) → uuid lido.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O uuid lido deve ser idêntico ao usuarioId original.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>
      <w:r>
        <w:rPr>
          <w:b/>
        </w:rPr>
        <w:t>CT-22 — decodeSession — rejeita cookie adulterado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CT-22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decodeSession — rejeita cookie adulterado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Garantir que alterar qualquer parte do cookie (payload ou assinatura) faz o decodeSession retornar null.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SESSION_SECRET configurado.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Passos: gera cookie válido; substitui a assinatura por outra string; tenta decodificar.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decodeSession deve retornar null.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>
      <w:r>
        <w:rPr>
          <w:b/>
        </w:rPr>
        <w:t>CT-23 — decodeSession — expiração de 7 dias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CT-23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decodeSession — expiração de 7 dias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Verificar que o timestamp gravado no cookie corresponde ao prazo de 7 dias.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SESSION_SECRET configurado.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Passos: encodeSession e extrair o segundo segmento (exp).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exp - now deve estar entre 7*24*3600 - 5s e 7*24*3600 + 5s.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>
      <w:r>
        <w:rPr>
          <w:b/>
        </w:rPr>
        <w:t>CT-24 — hashSenha + verificarSenha — round-trip OK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CT-24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hashSenha + verificarSenha — round-trip OK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Garantir que uma senha hasheada com bcrypt valida positivamente quando comparada com o texto original.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bcryptjs instalado.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Passos: hashSenha("MinhaSenh@Forte123") → hash; verificarSenha(original, hash).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Retorno true. Hash deve começar com $2a$10$ ou $2b$10$.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>
      <w:r>
        <w:rPr>
          <w:b/>
        </w:rPr>
        <w:t>CT-25 — verificarSenha — recusa senha errada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CT-25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verificarSenha — recusa senha errada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Garantir que comparar texto diferente do original retorna false.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Hash de senha conhecido.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Passos: verificarSenha("senhaErrada", hashDeOutraSenha).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Retorno false.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>
      <w:r>
        <w:rPr>
          <w:b/>
        </w:rPr>
        <w:t>CT-26 — validateComentarioTexto — limites min/max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CT-26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validateComentarioTexto — limites min/max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Garantir aceitação no limite válido (1 a 1000 chars) e rejeição fora dele.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Validador disponível.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Casos: "" → erro vazio; "   " → erro vazio; "a"*1000 → null; "a"*1001 → erro tamanho.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Mensagens de erro corretas para os casos inválidos; null para os válidos.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>
      <w:r>
        <w:rPr>
          <w:b/>
        </w:rPr>
        <w:t>CT-27 — createUser — transação atômica usuario + jogador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CT-27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createUser — transação atômica usuario + jogador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Verificar que /lib/users.createUser insere a linha em "usuario" e a correspondente em "jogador" na mesma transação.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BancoVersao2034_test criado e com schema aplicado. SESSION_SECRET no .env.local.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Passos: createUser({nome, sobrenome, username, email, senha}); consultar jogador.usuario_id.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usuario.id deve ser UUID. jogador.usuario_id deve referenciar usuario.id. senha_hash deve ser hash bcrypt.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>
      <w:r>
        <w:rPr>
          <w:b/>
        </w:rPr>
        <w:t>CT-28 — createUser duplicado dispara 23505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CT-28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createUser duplicado dispara 23505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Garantir que tentar criar dois usuários com mesmo username falha com erro UNIQUE do Postgres.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Banco de teste com schema; primeiro createUser concluído.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Passos: createUser com username já em uso.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A Promise deve rejeitar com objeto que tenha .code === "23505".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>
      <w:r>
        <w:rPr>
          <w:b/>
        </w:rPr>
        <w:t>CT-29 — deleteUser — ON DELETE CASCADE em jogador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CT-29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deleteUser — ON DELETE CASCADE em jogador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Verificar que apagar o usuário remove automaticamente o jogador (FK CASCADE).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Banco de teste com schema; usuário e jogador criados.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Passos: deleteUser(uuid); consultar jogador.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rowCount em jogador deve ser 0.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>
      <w:r>
        <w:rPr>
          <w:b/>
        </w:rPr>
        <w:t>CT-30 — CRUD Comentário — pertenceAoLeitor é por jogador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CT-30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CRUD Comentário — pertenceAoLeitor é por jogador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Garantir que listByPuzzle só marca pertenceAoLeitor=true para comentários cujo jogador_id bate com o do leitor.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Banco de teste; dois usuários com comentários no mesmo puzzle.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Passos: alice e bob criam comentários em "p1"; alice lista a thread.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Para alice, seu próprio comentário tem pertenceAoLeitor=true; o do bob, false.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>
      <w:r>
        <w:rPr>
          <w:b/>
        </w:rPr>
        <w:t>CT-31 — updateComentario — bloqueia edição de outro autor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CT-31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updateComentario — bloqueia edição de outro autor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Garantir que tentar editar comentário alheio retorna null sem alterar dados.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Banco; alice cria comentário; bob é outro usuário válido.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Passos: updateComentario(idDoAlice, bobId, "hackeado").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Retorno null. Texto persistido continua o original.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>
      <w:r>
        <w:rPr>
          <w:b/>
        </w:rPr>
        <w:t>CT-32 — upsertResolvido — acumula tentativas no conflito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CT-32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upsertResolvido — acumula tentativas no conflito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Verificar que o segundo upsert do mesmo (jogador,puzzle) SOMA as tentativas em vez de sobrescrever.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Banco; jogador criado.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Passos: upsertResolvido(p, t=1); upsertResolvido(p, t=3) no mesmo puzzle.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Linha final tem tentativas=4 e mantém o mesmo id da primeira inserção.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>
      <w:r>
        <w:rPr>
          <w:b/>
        </w:rPr>
        <w:t>CT-33 — createPuzzle (admin) com lichess_id UNIQUE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CT-33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createPuzzle (admin) com lichess_id UNIQUE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Garantir que tentar criar dois puzzles com mesmo lichess_id falha com 23505.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Banco com schema; admin criado e promovido.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Passos: createPuzzle(lichessId="dup"); createPuzzle(lichessId="dup").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Segunda chamada rejeita com {code: "23505"}.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>
      <w:r>
        <w:rPr>
          <w:b/>
        </w:rPr>
        <w:t>CT-34 — GET /api/puzzles/daily — proxy Lichess responde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CT-34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GET /api/puzzles/daily — proxy Lichess responde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Smoke test do proxy server-side que repassa a chamada ao Lichess público.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Conectividade externa (fallback gracioso para rate-limit).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Passos: chamar fetchPuzzleById("daily").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Resposta com campos "puzzle" e "game". Em caso de 429 do Lichess, teste passa em modo graceful.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>
      <w:r>
        <w:rPr>
          <w:b/>
        </w:rPr>
        <w:t>CT-35 — E2E Auth — register → logout → login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CT-35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E2E Auth — register → logout → login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Exercitar o fluxo completo de UC-01, UC-02 e UC-03 via UI no browser.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BancoVersao2034_test limpo; dev server na porta 3001; chromium instalado.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Passos: abrir /routes/register; preencher; submit; logout; relogar; ver perfil.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Username aparece em /routes/profile após o re-login. Cookie httpOnly persistente.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>
      <w:r>
        <w:rPr>
          <w:b/>
        </w:rPr>
        <w:t>CT-36 — E2E Auth — login com senha errada exibe erro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CT-36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E2E Auth — login com senha errada exibe erro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Garantir que a UI mostra mensagem de erro para credenciais inválidas (UC-02 fluxo alternativo).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Banco limpo; dev server.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Passos: abrir /routes/login; e-mail inexistente; senha qualquer; submit.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Mensagem com palavras "inválid|erro|incorreto" aparece na página.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>
      <w:r>
        <w:rPr>
          <w:b/>
        </w:rPr>
        <w:t>CT-37 — E2E Profile CRUD — ler, editar nome, excluir conta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CT-37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E2E Profile CRUD — ler, editar nome, excluir conta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Cobrir UC-05, UC-06 e UC-07 ponta a ponta pela /routes/profile.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Banco; dev server.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Passos: registrar; ir pro profile; ver username; editar nome para "Depois"; clicar "Excluir conta".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Após excluir, navegação para /routes/profile redireciona pro login.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>
      <w:r>
        <w:rPr>
          <w:b/>
        </w:rPr>
        <w:t>CT-38 — E2E Histórico de Puzzles — criar e excluir resolvido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CT-38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E2E Histórico de Puzzles — criar e excluir resolvido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Cobrir create + delete na tela /routes/puzzles/history.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Banco; dev server.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Passos: registrar; abrir history; preencher modal com puzzleId "e2e-test-001"; salvar; confirmar; excluir.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Linha aparece após salvar; sai após excluir.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>
      <w:r>
        <w:rPr>
          <w:b/>
        </w:rPr>
        <w:t>CT-39 — E2E Admin — criar puzzle pelo painel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CT-39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E2E Admin — criar puzzle pelo painel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Cobrir UC-20 + UC-21 pela /routes/administracao/puzzles após promover o usuário a admin.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Banco; dev server; helper promoteUserToAdmin disponível.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Passos: registrar; promover; abrir admin/puzzles; preencher FEN/solução/fase; criar.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Mensagem de sucesso aparece. Lista de puzzles cadastrados inclui a nova linha.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>
      <w:r>
        <w:rPr>
          <w:b/>
        </w:rPr>
        <w:t>CT-40 — E2E Admin — criar bot pelo painel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CT-40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E2E Admin — criar bot pelo painel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Cobrir UC-24 + UC-25 pela /routes/administracao/bots.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Banco; dev server; admin promovido.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Passos: abrir admin/bots; nome, nível e descrição; clicar Criar bot.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Bot listado abaixo do formulário com o nome esperado.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>
      <w:r>
        <w:rPr>
          <w:b/>
        </w:rPr>
        <w:t>CT-41 — E2E Comentários — publicar, editar e excluir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  <w:t>ID</w:t>
            </w:r>
          </w:p>
        </w:tc>
        <w:tc>
          <w:tcPr>
            <w:tcW w:type="dxa" w:w="4514"/>
          </w:tcPr>
          <w:p>
            <w:r>
              <w:t>CT-41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514"/>
          </w:tcPr>
          <w:p>
            <w:r>
              <w:t>E2E Comentários — publicar, editar e excluir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514"/>
          </w:tcPr>
          <w:p>
            <w:r>
              <w:t>Cobrir UC-16, UC-17, UC-18 e UC-19 pela seção de comentários da página de puzzle.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514"/>
          </w:tcPr>
          <w:p>
            <w:r>
              <w:t>Banco; dev server; rota /routes/puzzles/1 com dados estáticos.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Fluxo / Passos</w:t>
            </w:r>
          </w:p>
        </w:tc>
        <w:tc>
          <w:tcPr>
            <w:tcW w:type="dxa" w:w="4514"/>
          </w:tcPr>
          <w:p>
            <w:r>
              <w:t>Passos: registrar; abrir /routes/puzzles/1; publicar comentário; editá-lo; excluí-lo.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514"/>
          </w:tcPr>
          <w:p>
            <w:r>
              <w:t>Texto original aparece; depois texto editado + marcação "editado"; após excluir, sumiu da página.</w:t>
            </w:r>
          </w:p>
        </w:tc>
      </w:tr>
      <w:tr>
        <w:tc>
          <w:tcPr>
            <w:tcW w:type="dxa" w:w="45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514"/>
          </w:tcPr>
          <w:p>
            <w:r>
              <w:t>🟢 Aprovado</w:t>
            </w:r>
          </w:p>
        </w:tc>
      </w:tr>
    </w:tbl>
    <w:p/>
    <w:p/>
    <w:p>
      <w:pPr>
        <w:pStyle w:val="Heading2"/>
      </w:pPr>
      <w:r>
        <w:t>4. Resumo da Suíte</w:t>
      </w:r>
    </w:p>
    <w:p>
      <w:r>
        <w:t>A suíte completa contempla 41 casos de teste distribuídos em três níveis: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3010"/>
          </w:tcPr>
          <w:p>
            <w:r>
              <w:rPr>
                <w:b/>
              </w:rPr>
              <w:t>IDs</w:t>
            </w:r>
          </w:p>
        </w:tc>
        <w:tc>
          <w:tcPr>
            <w:tcW w:type="dxa" w:w="301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3010"/>
          </w:tcPr>
          <w:p>
            <w:r>
              <w:t>Unitários — Sprint 2</w:t>
            </w:r>
          </w:p>
        </w:tc>
        <w:tc>
          <w:tcPr>
            <w:tcW w:type="dxa" w:w="3010"/>
          </w:tcPr>
          <w:p>
            <w:r>
              <w:t>CT-01 a CT-16</w:t>
            </w:r>
          </w:p>
        </w:tc>
        <w:tc>
          <w:tcPr>
            <w:tcW w:type="dxa" w:w="3010"/>
          </w:tcPr>
          <w:p>
            <w:r>
              <w:t>16</w:t>
            </w:r>
          </w:p>
        </w:tc>
      </w:tr>
      <w:tr>
        <w:tc>
          <w:tcPr>
            <w:tcW w:type="dxa" w:w="3010"/>
          </w:tcPr>
          <w:p>
            <w:r>
              <w:t>Unitários — Sprint 3 (novos)</w:t>
            </w:r>
          </w:p>
        </w:tc>
        <w:tc>
          <w:tcPr>
            <w:tcW w:type="dxa" w:w="3010"/>
          </w:tcPr>
          <w:p>
            <w:r>
              <w:t>CT-18 a CT-26</w:t>
            </w:r>
          </w:p>
        </w:tc>
        <w:tc>
          <w:tcPr>
            <w:tcW w:type="dxa" w:w="3010"/>
          </w:tcPr>
          <w:p>
            <w:r>
              <w:t>9</w:t>
            </w:r>
          </w:p>
        </w:tc>
      </w:tr>
      <w:tr>
        <w:tc>
          <w:tcPr>
            <w:tcW w:type="dxa" w:w="3010"/>
          </w:tcPr>
          <w:p>
            <w:r>
              <w:t>Integração</w:t>
            </w:r>
          </w:p>
        </w:tc>
        <w:tc>
          <w:tcPr>
            <w:tcW w:type="dxa" w:w="3010"/>
          </w:tcPr>
          <w:p>
            <w:r>
              <w:t>CT-17, CT-27 a CT-34</w:t>
            </w:r>
          </w:p>
        </w:tc>
        <w:tc>
          <w:tcPr>
            <w:tcW w:type="dxa" w:w="3010"/>
          </w:tcPr>
          <w:p>
            <w:r>
              <w:t>9</w:t>
            </w:r>
          </w:p>
        </w:tc>
      </w:tr>
      <w:tr>
        <w:tc>
          <w:tcPr>
            <w:tcW w:type="dxa" w:w="3010"/>
          </w:tcPr>
          <w:p>
            <w:r>
              <w:t>E2E (Playwright)</w:t>
            </w:r>
          </w:p>
        </w:tc>
        <w:tc>
          <w:tcPr>
            <w:tcW w:type="dxa" w:w="3010"/>
          </w:tcPr>
          <w:p>
            <w:r>
              <w:t>CT-35 a CT-41</w:t>
            </w:r>
          </w:p>
        </w:tc>
        <w:tc>
          <w:tcPr>
            <w:tcW w:type="dxa" w:w="3010"/>
          </w:tcPr>
          <w:p>
            <w:r>
              <w:t>7</w:t>
            </w:r>
          </w:p>
        </w:tc>
      </w:tr>
    </w:tbl>
    <w:p/>
    <w:p>
      <w:r>
        <w:t>Total: 41 casos. Ferramentas usadas: Vitest 4 (unitários + integração), Playwright 1.49 (E2E), @vitest/coverage-v8 (cobertura ≥70% em src/lib).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