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</w:pPr>
      <w:r>
        <w:rPr>
          <w:b/>
          <w:color w:val="1B365D"/>
          <w:sz w:val="56"/>
        </w:rPr>
        <w:t>CesuChess</w:t>
      </w:r>
    </w:p>
    <w:p>
      <w:pPr>
        <w:spacing w:after="240"/>
      </w:pPr>
      <w:r>
        <w:rPr>
          <w:color w:val="5C768D"/>
          <w:sz w:val="32"/>
        </w:rPr>
        <w:t>Plataforma de Xadrez Online</w:t>
      </w:r>
    </w:p>
    <w:p>
      <w:pPr>
        <w:spacing w:after="480"/>
      </w:pPr>
      <w:r>
        <w:rPr>
          <w:b/>
          <w:color w:val="1B365D"/>
          <w:sz w:val="40"/>
        </w:rPr>
        <w:t>Documentação de Casos de Teste</w:t>
      </w:r>
    </w:p>
    <w:p>
      <w:pPr>
        <w:spacing w:after="720"/>
      </w:pPr>
      <w:r>
        <w:rPr>
          <w:color w:val="666666"/>
          <w:sz w:val="20"/>
        </w:rPr>
        <w:t>Versão 2.0  |  Sprint 3  |  26/05/2026</w:t>
      </w:r>
    </w:p>
    <w:p>
      <w:pPr>
        <w:spacing w:before="360" w:after="120"/>
      </w:pPr>
      <w:r>
        <w:rPr>
          <w:b/>
          <w:color w:val="1B365D"/>
          <w:sz w:val="28"/>
        </w:rPr>
        <w:t>1. Introdução</w:t>
      </w:r>
    </w:p>
    <w:p>
      <w:r>
        <w:t>Este documento detalha o planeamento e a execução da suíte de testes automatizados referentes às funcionalidades da Sprint 2 do projeto CesuChess. Os testes garantem a qualidade das regras de negócio (validações) e a correta integração com serviços externos.</w:t>
        <w:br/>
        <w:br/>
        <w:t>Os casos de teste estão divididos entre testes unitários para a camada de validação isolada (previniendo a entrada de dados incorretos na base de dados PostgreSQL) e testes de integração para consumo de APIs externas. Cada caso de teste segue a estrutura tabular padronizada contendo identificador, nome do teste, objetivo, pré-condições, dados de entrada, passos de execução, resultado esperado e status de aprovação.</w:t>
      </w:r>
    </w:p>
    <w:p>
      <w:pPr>
        <w:spacing w:before="480" w:after="240"/>
      </w:pPr>
      <w:r>
        <w:rPr>
          <w:b/>
          <w:color w:val="1B365D"/>
          <w:sz w:val="28"/>
        </w:rPr>
        <w:t>2. Casos de Teste</w:t>
      </w:r>
    </w:p>
    <w:p>
      <w:pPr>
        <w:keepNext/>
        <w:spacing w:before="280" w:after="80"/>
      </w:pPr>
      <w:r>
        <w:rPr>
          <w:b/>
          <w:color w:val="1B365D"/>
          <w:sz w:val="24"/>
        </w:rPr>
        <w:t>CT-01 — Validação de E-mail Correto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CT-01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E-mail Correto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se o sistema aceita formatos válidos de correio eletrónico.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validador validateEmail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player@cesuchess.com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(indicando ausência de erros).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CT-02 — Rejeição de E-mail Inválido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CT-02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E-mail Inválido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Impedir o registo de utilizadores com e-mails mal formatados.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magnuscarlsen.com (sem o caractere @).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"Formato de e-mail inválido.".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CT-03 — Validação de Palavra-Passe Forte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CT-03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Palavra-Passe Forte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Garantir que o sistema aceita palavras-passe que cumprem o requisito mínimo de segurança.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e4e5Gf3Nc6 (10 caracteres).</w:t>
              <w:br/>
              <w:br/>
              <w:t>Executar a função validateSenha.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(aprovado).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CT-04 — Rejeição de Palavra-Passe Fraca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CT-04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Palavra-Passe Fraca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a criação de palavras-passe com menos de 8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12345 (5 caracteres).</w:t>
              <w:br/>
              <w:br/>
              <w:t>Executar a função validateSenha.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"Senha deve ter no mínimo 8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CT-05 — Validação de Nome Correto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CT-05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Nome Correto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se o sistema aceita nomes dentro dos limites permitidos.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validador validateNome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Magnus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(indicando ausência de erros).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CT-06 — Rejeição de Nome Muito Curto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CT-06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Nome Muito Curto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o registo de utilizadores com nomes abaixo do mínimo de 2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A (1 caractere).</w:t>
              <w:br/>
              <w:br/>
              <w:t>Executar a função validateNome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"Nome deve ter no mínimo 2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CT-07 — Rejeição de Nome Muito Longo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CT-07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Nome Muito Longo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o registo de utilizadores com nomes acima do máximo de 80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String de 81 caracteres ("A" repetido 81 vezes).</w:t>
              <w:br/>
              <w:br/>
              <w:t>Executar a função validateNome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"Nome deve ter no máximo 80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CT-08 — Validação de Sobrenome Correto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CT-08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Sobrenome Correto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se o sistema aceita sobrenomes dentro dos limites permitidos.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validador validateSobrenome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Carlsen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(indicando ausência de erros).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CT-09 — Rejeição de Sobrenome Muito Curto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CT-09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Sobrenome Muito Curto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o registo de utilizadores com sobrenomes abaixo do mínimo de 2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C (1 caractere).</w:t>
              <w:br/>
              <w:br/>
              <w:t>Executar a função validateSobrenome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"Sobrenome deve ter no mínimo 2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CT-10 — Rejeição de Sobrenome Muito Longo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CT-10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Sobrenome Muito Longo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o registo de utilizadores com sobrenomes acima do máximo de 80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String de 81 caracteres ("C" repetido 81 vezes).</w:t>
              <w:br/>
              <w:br/>
              <w:t>Executar a função validateSobrenome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"Sobrenome deve ter no máximo 80 caracteres.".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CT-11 — Validação de Username Correto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CT-11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Validação de Username Correto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se o sistema aceita usernames no formato permitido (letras, números e _).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validador validateUsername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magnus_99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 (indicando ausência de erros).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CT-12 — Rejeição de Username Muito Curto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CT-12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Username Muito Curto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usernames com menos de 3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ab (2 caracteres).</w:t>
              <w:br/>
              <w:br/>
              <w:t>Executar a função validateUsername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"Username deve ter 3-40 caracteres (letras, números ou _).".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CT-13 — Rejeição de Username Muito Longo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CT-13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Username Muito Longo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usernames com mais de 40 caracteres.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String de 41 caracteres ("a" repetido 41 vezes).</w:t>
              <w:br/>
              <w:br/>
              <w:t>Executar a função validateUsername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"Username deve ter 3-40 caracteres (letras, números ou _).".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CT-14 — Rejeição de Username com Caracteres Especiais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CT-14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Rejeição de Username com Caracteres Especiais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Bloquear usernames que contenham caracteres não permitidos pela regra de negócio.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magnus@99 (contém @).</w:t>
              <w:br/>
              <w:br/>
              <w:t>Executar a função validateUsername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"Username deve ter 3-40 caracteres (letras, números ou _).".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CT-15 — firstError Sem Erros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CT-15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firstError Sem Erros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que a função auxiliar retorna null quando todas as validações passam.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O utilitário firstError deve estar acessível.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firstError(null, null, null)</w:t>
              <w:br/>
              <w:br/>
              <w:t>Executar a função com três argumentos null.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null.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CT-16 — firstError Retorna o Primeiro Erro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CT-16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firstError Retorna o Primeiro Erro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Verificar que a função retorna corretamente o primeiro erro da sequência, ignorando os subsequentes.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N/A.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firstError(null, 'Erro B', 'Erro C')</w:t>
              <w:br/>
              <w:br/>
              <w:t>Executar a função com o dado de entrada.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A função deve retornar a string "Erro B".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~1ms)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1B365D"/>
          <w:sz w:val="24"/>
        </w:rPr>
        <w:t>CT-17 — Integração com Lichess API (Puzzle Diário)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4514"/>
        <w:gridCol w:w="4514"/>
      </w:tblGrid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CT-17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Integração com Lichess API (Puzzle Diário)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Consumir a API pública do Lichess e garantir que a estrutura de dados recebida é compatível com o sistema interno.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Pré-condições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Servidor com acesso à Internet; API do Lichess operacional.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Fluxo / Passos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Dados de Entrada: Identificador daily enviado para o serviço fetchPuzzleById.</w:t>
              <w:br/>
              <w:br/>
              <w:t>1. Efetuar a chamada HTTP ao serviço proxy.</w:t>
              <w:br/>
              <w:t>2. Aguardar a resolução da Promise.</w:t>
              <w:br/>
              <w:t>3. Validar a presença dos objetos puzzle e game na resposta.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sz w:val="20"/>
              </w:rPr>
              <w:t>Resposta estruturada sem erros e contendo os dados do tabuleiro e solução.</w:t>
            </w:r>
          </w:p>
        </w:tc>
      </w:tr>
      <w:tr>
        <w:tc>
          <w:tcPr>
            <w:tcW w:type="dxa" w:w="2592"/>
            <w:shd w:fill="F4F6F9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type="dxa" w:w="6768"/>
            <w:tcMar>
              <w:top w:w="60" w:type="dxa"/>
              <w:bottom w:w="60" w:type="dxa"/>
              <w:left w:w="100" w:type="dxa"/>
              <w:right w:w="100" w:type="dxa"/>
            </w:tcMar>
            <w:vAlign w:val="center"/>
          </w:tcPr>
          <w:p>
            <w:pPr>
              <w:spacing w:after="40" w:before="40"/>
            </w:pPr>
            <w:r>
              <w:rPr>
                <w:b/>
                <w:color w:val="2E7D32"/>
                <w:sz w:val="20"/>
              </w:rPr>
              <w:t>🟢 Aprovado (Tempo de execução: ~1200ms)</w:t>
            </w:r>
          </w:p>
        </w:tc>
      </w:tr>
    </w:tbl>
    <w:p>
      <w:pPr>
        <w:spacing w:after="120"/>
      </w:pPr>
    </w:p>
    <w:p/>
    <w:p>
      <w:pPr>
        <w:pStyle w:val="Heading2"/>
      </w:pPr>
      <w:r>
        <w:t>3. Casos de Teste — Sprint 3</w:t>
      </w:r>
    </w:p>
    <w:p>
      <w:r>
        <w:t>Esta seção complementa a documentação existente com os casos de teste introduzidos pelos novos CRUDs e pelas suítes de integração e E2E entregues no Sprint 3. Os identificadores continuam a numeração da Sprint 2, começando em CT-18.</w:t>
      </w:r>
    </w:p>
    <w:p>
      <w:r>
        <w:rPr>
          <w:b/>
        </w:rPr>
        <w:t>CT-18 — applyMove — lance legal de abertura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CT-18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applyMove — lance legal de abertura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o engine aceita o lance e2→e4 nas brancas a partir da posição inicial.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chessEngine.applyMove disponível; chess.js instalado.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Dados de entrada: nova instância Chess(), origem "e2", destino "e4".</w:t>
              <w:br/>
              <w:t>Passos: chamar applyMove(game, "e2", "e4").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A função deve retornar uma NOVA instância Chess (imutabilidade preservada), com history() contendo "e4" e turn() = "b".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CT-19 — applyMove — lance ilegal rejeitado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CT-19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applyMove — lance ilegal rejeitado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tentar avançar peão de e2 para e5 retorna null sem modificar o estado original (RN-090 cláusula 2).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Engine disponível.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Dados de entrada: Chess(), origem "e2", destino "e5".</w:t>
              <w:br/>
              <w:t>Passos: chamar applyMove(game, "e2", "e5").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A função deve retornar null. O game original deve permanecer com history() vazio.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CT-20 — applyMove — promoção automática a Dama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CT-20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applyMove — promoção automática a Dama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quando um peão branco em a7 é movido para a8, ele é promovido a Dama (RN-042).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FEN específica preparada com peão branco em a7.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Dados de entrada: Chess("8/P7/8/8/8/8/8/4K2k w - - 0 1"), origem "a7", destino "a8".</w:t>
              <w:br/>
              <w:t>Passos: chamar applyMove e inspecionar a peça em a8.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A peça em a8 deve ser do tipo "q" (Dama) e cor "w" (branca).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CT-21 — encodeSession + decodeSession — round-trip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CT-21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encodeSession + decodeSession — round-trip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o cookie de sessão codificado pode ser decodificado de volta para o mesmo usuarioId.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SESSION_SECRET configurado no ambiente.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encodeSession(uuid) → cookie; decodeSession(cookie) → uuid lido.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O uuid lido deve ser idêntico ao usuarioId original.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CT-22 — decodeSession — rejeita cookie adulterado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CT-22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decodeSession — rejeita cookie adulterado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alterar qualquer parte do cookie (payload ou assinatura) faz o decodeSession retornar null.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SESSION_SECRET configurado.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gera cookie válido; substitui a assinatura por outra string; tenta decodificar.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decodeSession deve retornar null.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CT-23 — decodeSession — expiração de 7 dias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CT-23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decodeSession — expiração de 7 dias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o timestamp gravado no cookie corresponde ao prazo de 7 dias.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SESSION_SECRET configurado.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encodeSession e extrair o segundo segmento (exp).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exp - now deve estar entre 7*24*3600 - 5s e 7*24*3600 + 5s.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CT-24 — hashSenha + verificarSenha — round-trip OK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CT-24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hashSenha + verificarSenha — round-trip OK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uma senha hasheada com bcrypt valida positivamente quando comparada com o texto original.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bcryptjs instalado.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hashSenha("MinhaSenh@Forte123") → hash; verificarSenha(original, hash).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Retorno true. Hash deve começar com $2a$10$ ou $2b$10$.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CT-25 — verificarSenha — recusa senha errada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CT-25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verificarSenha — recusa senha errada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comparar texto diferente do original retorna false.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Hash de senha conhecido.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verificarSenha("senhaErrada", hashDeOutraSenha).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Retorno false.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CT-26 — validateComentarioTexto — limites min/max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CT-26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validateComentarioTexto — limites min/max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aceitação no limite válido (1 a 1000 chars) e rejeição fora dele.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Validador disponível.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Casos: "" → erro vazio; "   " → erro vazio; "a"*1000 → null; "a"*1001 → erro tamanho.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Mensagens de erro corretas para os casos inválidos; null para os válidos.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CT-27 — createUser — transação atômica usuario + jogador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CT-27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createUser — transação atômica usuario + jogador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/lib/users.createUser insere a linha em "usuario" e a correspondente em "jogador" na mesma transação.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BancoVersao2034_test criado e com schema aplicado. SESSION_SECRET no .env.local.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createUser({nome, sobrenome, username, email, senha}); consultar jogador.usuario_id.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usuario.id deve ser UUID. jogador.usuario_id deve referenciar usuario.id. senha_hash deve ser hash bcrypt.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CT-28 — createUser duplicado dispara 23505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CT-28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createUser duplicado dispara 23505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tentar criar dois usuários com mesmo username falha com erro UNIQUE do Postgres.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 de teste com schema; primeiro createUser concluído.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createUser com username já em uso.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A Promise deve rejeitar com objeto que tenha .code === "23505".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CT-29 — deleteUser — ON DELETE CASCADE em jogador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CT-29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deleteUser — ON DELETE CASCADE em jogador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apagar o usuário remove automaticamente o jogador (FK CASCADE).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 de teste com schema; usuário e jogador criados.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deleteUser(uuid); consultar jogador.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rowCount em jogador deve ser 0.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CT-30 — CRUD Comentário — pertenceAoLeitor é por jogador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CT-30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CRUD Comentário — pertenceAoLeitor é por jogador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listByPuzzle só marca pertenceAoLeitor=true para comentários cujo jogador_id bate com o do leitor.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 de teste; dois usuários com comentários no mesmo puzzle.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alice e bob criam comentários em "p1"; alice lista a thread.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Para alice, seu próprio comentário tem pertenceAoLeitor=true; o do bob, false.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CT-31 — updateComentario — bloqueia edição de outro autor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CT-31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updateComentario — bloqueia edição de outro autor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tentar editar comentário alheio retorna null sem alterar dados.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Banco; alice cria comentário; bob é outro usuário válido.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updateComentario(idDoAlice, bobId, "hackeado").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Retorno null. Texto persistido continua o original.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CT-32 — upsertResolvido — acumula tentativas no conflito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CT-32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upsertResolvido — acumula tentativas no conflito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o segundo upsert do mesmo (jogador,puzzle) SOMA as tentativas em vez de sobrescrever.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Banco; jogador criado.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upsertResolvido(p, t=1); upsertResolvido(p, t=3) no mesmo puzzle.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Linha final tem tentativas=4 e mantém o mesmo id da primeira inserção.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CT-33 — createPuzzle (admin) com lichess_id UNIQUE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CT-33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createPuzzle (admin) com lichess_id UNIQUE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tentar criar dois puzzles com mesmo lichess_id falha com 23505.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 com schema; admin criado e promovido.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createPuzzle(lichessId="dup"); createPuzzle(lichessId="dup").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Segunda chamada rejeita com {code: "23505"}.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CT-34 — GET /api/puzzles/daily — proxy Lichess responde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CT-34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GET /api/puzzles/daily — proxy Lichess responde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Smoke test do proxy server-side que repassa a chamada ao Lichess público.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Conectividade externa (fallback gracioso para rate-limit).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chamar fetchPuzzleById("daily").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Resposta com campos "puzzle" e "game". Em caso de 429 do Lichess, teste passa em modo graceful.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CT-35 — E2E Auth — register → logout → login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CT-35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E2E Auth — register → logout → login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Exercitar o fluxo completo de UC-01, UC-02 e UC-03 via UI no browser.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BancoVersao2034_test limpo; dev server na porta 3001; chromium instalado.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abrir /routes/register; preencher; submit; logout; relogar; ver perfil.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Username aparece em /routes/profile após o re-login. Cookie httpOnly persistente.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CT-36 — E2E Auth — login com senha errada exibe erro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CT-36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E2E Auth — login com senha errada exibe erro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a UI mostra mensagem de erro para credenciais inválidas (UC-02 fluxo alternativo).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 limpo; dev server.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abrir /routes/login; e-mail inexistente; senha qualquer; submit.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Mensagem com palavras "inválid|erro|incorreto" aparece na página.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CT-37 — E2E Profile CRUD — ler, editar nome, excluir conta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CT-37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E2E Profile CRUD — ler, editar nome, excluir conta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Cobrir UC-05, UC-06 e UC-07 ponta a ponta pela /routes/profile.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Banco; dev server.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registrar; ir pro profile; ver username; editar nome para "Depois"; clicar "Excluir conta".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Após excluir, navegação para /routes/profile redireciona pro login.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CT-38 — E2E Histórico de Puzzles — criar e excluir resolvido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CT-38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E2E Histórico de Puzzles — criar e excluir resolvido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Cobrir create + delete na tela /routes/puzzles/history.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Banco; dev server.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registrar; abrir history; preencher modal com puzzleId "e2e-test-001"; salvar; confirmar; excluir.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Linha aparece após salvar; sai após excluir.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CT-39 — E2E Admin — criar puzzle pelo painel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CT-39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E2E Admin — criar puzzle pelo painel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Cobrir UC-20 + UC-21 pela /routes/administracao/puzzles após promover o usuário a admin.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Banco; dev server; helper promoteUserToAdmin disponível.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registrar; promover; abrir admin/puzzles; preencher FEN/solução/fase; criar.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Mensagem de sucesso aparece. Lista de puzzles cadastrados inclui a nova linha.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CT-40 — E2E Admin — criar bot pelo painel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CT-40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E2E Admin — criar bot pelo painel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Cobrir UC-24 + UC-25 pela /routes/administracao/bots.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Banco; dev server; admin promovido.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abrir admin/bots; nome, nível e descrição; clicar Criar bot.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Bot listado abaixo do formulário com o nome esperado.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>
      <w:r>
        <w:rPr>
          <w:b/>
        </w:rPr>
        <w:t>CT-41 — E2E Comentários — publicar, editar e excluir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CT-41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E2E Comentários — publicar, editar e excluir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Cobrir UC-16, UC-17, UC-18 e UC-19 pela seção de comentários da página de puzzle.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Banco; dev server; rota /routes/puzzles/1 com dados estáticos.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Passos: registrar; abrir /routes/puzzles/1; publicar comentário; editá-lo; excluí-lo.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Texto original aparece; depois texto editado + marcação "editado"; após excluir, sumiu da página.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/>
    <w:p/>
    <w:p>
      <w:r>
        <w:rPr>
          <w:b/>
        </w:rPr>
        <w:t xml:space="preserve">CT-42 — validatePuzzleNome — limites do nome do puzzle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CT-42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validatePuzzleNome — limites do nome do puzzle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o validador do nome do puzzle aceita texto válido e rejeita curto, longo ou não-string.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Validador validatePuzzleNome acessível (src/lib/validation).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Casos: "Mate em 2 — sacrifício de dama" → null;</w:t>
            </w:r>
            <w:r>
              <w:br/>
            </w:r>
            <w:r>
              <w:t>"A" (1 char) → erro mínimo; "A"×121 → erro máximo;</w:t>
            </w:r>
            <w:r>
              <w:br/>
            </w:r>
            <w:r>
              <w:t>undefined → "Nome do puzzle inválido.".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null para o válido; mensagens de erro corretas para os inválidos.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>
      <w:r>
        <w:rPr>
          <w:b/>
        </w:rPr>
        <w:t xml:space="preserve">CT-43 — converterPuzzleLichess — PGN do Lichess para FEN jogável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CT-43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converterPuzzleLichess — PGN do Lichess para FEN jogável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a resposta crua do Lichess é convertida num FEN em que a solução inteira é legal, e que entrada impossível lança erro.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Módulo src/lib/puzzleLichess e chess.js disponíveis.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Entrada: pgn "e4 e5 Nf3 Nc6 Bc4 Bc5", solução ["e1g1","g8f6"].</w:t>
            </w:r>
            <w:r>
              <w:br/>
            </w:r>
            <w:r>
              <w:t>Caso de erro: solução ["h4h5"] impossível na posição.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Retorna {id, fen, solution, rating, themes} com a solução legal a partir do fen; no caso impossível, lança "não foi possível derivar um FEN".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>
      <w:r>
        <w:rPr>
          <w:b/>
        </w:rPr>
        <w:t xml:space="preserve">CT-44 — Catálogo de puzzles — nome persistido e listagem só de ativos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CT-44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Catálogo de puzzles — nome persistido e listagem só de ativos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Garantir que createPuzzle armazena o nome (com trim) e que listPuzzlesAtivos devolve apenas puzzles com ativo = true.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Banco de teste com schema (coluna nome aplicada); admin promovido.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createPuzzle({nome:"  Garfo da vitória  ", ...}) → row.nome trimado;</w:t>
            </w:r>
            <w:r>
              <w:br/>
            </w:r>
            <w:r>
              <w:t>criar 2 puzzles, inativar 1 via updatePuzzle({ativo:false});</w:t>
            </w:r>
            <w:r>
              <w:br/>
            </w:r>
            <w:r>
              <w:t>chamar listPuzzlesAtivos().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row.nome == "Garfo da vitória"; a lista contém o ativo e NÃO contém o inativado.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>
      <w:r>
        <w:rPr>
          <w:b/>
        </w:rPr>
        <w:t xml:space="preserve">CT-45 — Cliente Lichess — montagem de URL e erro de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  <w:t>ID</w:t>
            </w:r>
          </w:p>
        </w:tc>
        <w:tc>
          <w:tcPr>
            <w:tcW w:type="dxa" w:w="4514"/>
          </w:tcPr>
          <w:p>
            <w:r>
              <w:t>CT-45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514"/>
          </w:tcPr>
          <w:p>
            <w:r>
              <w:t>Cliente Lichess — montagem de URL e erro de status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514"/>
          </w:tcPr>
          <w:p>
            <w:r>
              <w:t>Verificar que fetchNextPuzzle inclui angle/difficulty na query e que o guard de resposta não-ok propaga o status (origem do 502 no proxy).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Pré-condições</w:t>
            </w:r>
          </w:p>
        </w:tc>
        <w:tc>
          <w:tcPr>
            <w:tcW w:type="dxa" w:w="4514"/>
          </w:tcPr>
          <w:p>
            <w:r>
              <w:t>src/services/lichess com fetch global mockado (vi.stubGlobal).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Fluxo / Passos</w:t>
            </w:r>
          </w:p>
        </w:tc>
        <w:tc>
          <w:tcPr>
            <w:tcW w:type="dxa" w:w="4514"/>
          </w:tcPr>
          <w:p>
            <w:r>
              <w:t>mock ok → fetchNextPuzzle("fork","normal"): URL contém angle=fork e difficulty=normal;</w:t>
            </w:r>
            <w:r>
              <w:br/>
            </w:r>
            <w:r>
              <w:t>mock !ok (429) → fetchPuzzleById("00008") deve rejeitar.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514"/>
          </w:tcPr>
          <w:p>
            <w:r>
              <w:t>URL correta para /puzzle/next; a Promise rejeita com erro contendo o status 429.</w:t>
            </w:r>
          </w:p>
        </w:tc>
      </w:tr>
      <w:tr>
        <w:tc>
          <w:tcPr>
            <w:tcW w:type="dxa" w:w="451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514"/>
          </w:tcPr>
          <w:p>
            <w:r>
              <w:t>🟢 Aprovado</w:t>
            </w:r>
          </w:p>
        </w:tc>
      </w:tr>
    </w:tbl>
    <w:p>
      <w:pPr>
        <w:pStyle w:val="Heading2"/>
      </w:pPr>
      <w:r>
        <w:t>4. Resumo da Suíte</w:t>
      </w:r>
    </w:p>
    <w:p>
      <w:r>
        <w:t>A suíte completa contempla 45 casos de teste distribuídos em três 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3010"/>
          </w:tcPr>
          <w:p>
            <w:r>
              <w:rPr>
                <w:b/>
              </w:rPr>
              <w:t>IDs</w:t>
            </w:r>
          </w:p>
        </w:tc>
        <w:tc>
          <w:tcPr>
            <w:tcW w:type="dxa" w:w="3010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3010"/>
          </w:tcPr>
          <w:p>
            <w:r>
              <w:t>Unitários — Sprint 2</w:t>
            </w:r>
          </w:p>
        </w:tc>
        <w:tc>
          <w:tcPr>
            <w:tcW w:type="dxa" w:w="3010"/>
          </w:tcPr>
          <w:p>
            <w:r>
              <w:t>CT-01 a CT-16</w:t>
            </w:r>
          </w:p>
        </w:tc>
        <w:tc>
          <w:tcPr>
            <w:tcW w:type="dxa" w:w="3010"/>
          </w:tcPr>
          <w:p>
            <w:r>
              <w:t>16</w:t>
            </w:r>
          </w:p>
        </w:tc>
      </w:tr>
      <w:tr>
        <w:tc>
          <w:tcPr>
            <w:tcW w:type="dxa" w:w="3010"/>
          </w:tcPr>
          <w:p>
            <w:r>
              <w:t>Unitários — Sprint 3 (novos)</w:t>
            </w:r>
          </w:p>
        </w:tc>
        <w:tc>
          <w:tcPr>
            <w:tcW w:type="dxa" w:w="3010"/>
          </w:tcPr>
          <w:p>
            <w:r>
              <w:t>CT-18 a CT-26</w:t>
            </w:r>
          </w:p>
        </w:tc>
        <w:tc>
          <w:tcPr>
            <w:tcW w:type="dxa" w:w="3010"/>
          </w:tcPr>
          <w:p>
            <w:r>
              <w:t>9</w:t>
            </w:r>
          </w:p>
        </w:tc>
      </w:tr>
      <w:tr>
        <w:tc>
          <w:tcPr>
            <w:tcW w:type="dxa" w:w="3010"/>
          </w:tcPr>
          <w:p>
            <w:r>
              <w:t>Integração</w:t>
            </w:r>
          </w:p>
        </w:tc>
        <w:tc>
          <w:tcPr>
            <w:tcW w:type="dxa" w:w="3010"/>
          </w:tcPr>
          <w:p>
            <w:r>
              <w:t>CT-17, CT-27 a CT-34</w:t>
            </w:r>
          </w:p>
        </w:tc>
        <w:tc>
          <w:tcPr>
            <w:tcW w:type="dxa" w:w="3010"/>
          </w:tcPr>
          <w:p>
            <w:r>
              <w:t>9</w:t>
            </w:r>
          </w:p>
        </w:tc>
      </w:tr>
      <w:tr>
        <w:tc>
          <w:tcPr>
            <w:tcW w:type="dxa" w:w="3010"/>
          </w:tcPr>
          <w:p>
            <w:r>
              <w:t>E2E (Playwright)</w:t>
            </w:r>
          </w:p>
        </w:tc>
        <w:tc>
          <w:tcPr>
            <w:tcW w:type="dxa" w:w="3010"/>
          </w:tcPr>
          <w:p>
            <w:r>
              <w:t>CT-35 a CT-41</w:t>
            </w:r>
          </w:p>
        </w:tc>
        <w:tc>
          <w:tcPr>
            <w:tcW w:type="dxa" w:w="3010"/>
          </w:tcPr>
          <w:p>
            <w:r>
              <w:t>7</w:t>
            </w:r>
          </w:p>
        </w:tc>
      </w:tr>
      <w:tr>
        <w:tc>
          <w:tcPr>
            <w:tcW w:type="dxa" w:w="3010"/>
          </w:tcPr>
          <w:p>
            <w:r>
              <w:t>Unit/Integração — Puzzles dos Mestres</w:t>
            </w:r>
          </w:p>
        </w:tc>
        <w:tc>
          <w:tcPr>
            <w:tcW w:type="dxa" w:w="3010"/>
          </w:tcPr>
          <w:p>
            <w:r>
              <w:t>CT-42 a CT-45</w:t>
            </w:r>
          </w:p>
        </w:tc>
        <w:tc>
          <w:tcPr>
            <w:tcW w:type="dxa" w:w="3010"/>
          </w:tcPr>
          <w:p>
            <w:r>
              <w:t>4</w:t>
            </w:r>
          </w:p>
        </w:tc>
      </w:tr>
    </w:tbl>
    <w:p/>
    <w:p>
      <w:r>
        <w:t>Total: 45 casos. Ferramentas usadas: Vitest 4 (unitários + integração), Playwright 1.49 (E2E), @vitest/coverage-v8 (cobertura ≥70% em src/lib e src/services).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