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00"/>
        <w:jc w:val="center"/>
      </w:pPr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A3A5C"/>
          <w:sz w:val="26"/>
          <w:szCs w:val="26"/>
        </w:rPr>
        <w:t xml:space="preserve">IET DAVV</w:t>
      </w:r>
    </w:p>
    <w:p>
      <w:pPr>
        <w:spacing w:after="260"/>
        <w:jc w:val="center"/>
      </w:pPr>
      <w:r>
        <w:rPr>
          <w:color w:val="7A8598"/>
          <w:sz w:val="18"/>
          <w:szCs w:val="18"/>
        </w:rPr>
        <w:t xml:space="preserve">Institute of Engineering &amp; Technology, Devi Ahilya Vishwavidyalaya, Indore</w:t>
      </w:r>
    </w:p>
    <w:p>
      <w:pPr>
        <w:spacing w:after="60"/>
        <w:jc w:val="center"/>
      </w:pPr>
      <w:r>
        <w:rPr>
          <w:i/>
          <w:iCs/>
          <w:color w:val="B07A3C"/>
          <w:sz w:val="22"/>
          <w:szCs w:val="22"/>
        </w:rPr>
        <w:t xml:space="preserve">Student Lifecycle Portal</w:t>
      </w:r>
    </w:p>
    <w:p>
      <w:pPr>
        <w:spacing w:after="20"/>
        <w:jc w:val="center"/>
      </w:pPr>
      <w:r>
        <w:rPr>
          <w:b/>
          <w:bCs/>
          <w:color w:val="1A3A5C"/>
          <w:sz w:val="44"/>
          <w:szCs w:val="44"/>
        </w:rPr>
        <w:t xml:space="preserve">Functional Workflow</w:t>
      </w:r>
    </w:p>
    <w:p>
      <w:pPr>
        <w:spacing w:after="320"/>
        <w:jc w:val="center"/>
      </w:pPr>
      <w:r>
        <w:rPr>
          <w:color w:val="3A4453"/>
          <w:sz w:val="22"/>
          <w:szCs w:val="22"/>
        </w:rPr>
        <w:t xml:space="preserve">How users move through the portal</w:t>
      </w:r>
    </w:p>
    <w:p>
      <w:pPr>
        <w:spacing w:after="4"/>
        <w:jc w:val="center"/>
      </w:pPr>
      <w:r>
        <w:rPr>
          <w:color w:val="7A8598"/>
          <w:sz w:val="18"/>
          <w:szCs w:val="18"/>
        </w:rPr>
        <w:t xml:space="preserve">Prototype documentation — July 2026</w:t>
      </w:r>
    </w:p>
    <w:p>
      <w:pPr>
        <w:jc w:val="center"/>
      </w:pPr>
      <w:r>
        <w:rPr>
          <w:i/>
          <w:iCs/>
          <w:color w:val="7A8598"/>
          <w:sz w:val="16"/>
          <w:szCs w:val="16"/>
        </w:rPr>
        <w:t xml:space="preserve">Demonstration prototype · not an official DAVV system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1. Actors &amp; portals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Three roles, each with its own portal behind a single login. Admins additionally have sub-roles whose access is controlled by an editable permission matrix.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1800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A8598"/>
          <w:sz w:val="18"/>
          <w:szCs w:val="18"/>
        </w:rPr>
        <w:t xml:space="preserve">Figure 1 — One login routes each role to its own portal.</w:t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2. Login &amp; role routing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Login is a mock identity check against seeded users. The session (role + user id) is saved in the browser and decides which portal shell loads. A guard sends anyone in the wrong area back to the login screen.</w:t>
      </w:r>
    </w:p>
    <w:p>
      <w:pPr>
        <w:spacing w:after="40" w:before="140"/>
        <w:jc w:val="center"/>
      </w:pPr>
      <w:r>
        <w:drawing>
          <wp:inline distT="0" distB="0" distL="0" distR="0">
            <wp:extent cx="3838575" cy="733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A8598"/>
          <w:sz w:val="18"/>
          <w:szCs w:val="18"/>
        </w:rPr>
        <w:t xml:space="preserve">Figure 2 — Login validates, stores the session, and the shell guards the area.</w:t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3. The complete student lifecycle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The spine of the product runs from admission all the way to the degree, with a repeating per-semester loop in the middle. It is shown here in three parts.</w:t>
      </w:r>
    </w:p>
    <w:p>
      <w:pPr>
        <w:pStyle w:val="Heading2"/>
        <w:spacing w:after="100" w:before="220"/>
      </w:pPr>
      <w:r>
        <w:rPr>
          <w:b/>
          <w:bCs/>
          <w:color w:val="1A3A5C"/>
          <w:sz w:val="24"/>
          <w:szCs w:val="24"/>
        </w:rPr>
        <w:t xml:space="preserve">3.1 Admission &amp; onboarding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Admission is through DTE Madhya Pradesh counselling (JEE Main). After allotment, document verification and the first-semester fee, the student is enrolled and receives an Enrollment Number — their identity for everything that follows.</w:t>
      </w:r>
    </w:p>
    <w:p>
      <w:pPr>
        <w:spacing w:after="40" w:before="140"/>
        <w:jc w:val="center"/>
      </w:pPr>
      <w:r>
        <w:drawing>
          <wp:inline distT="0" distB="0" distL="0" distR="0">
            <wp:extent cx="3933825" cy="733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A8598"/>
          <w:sz w:val="18"/>
          <w:szCs w:val="18"/>
        </w:rPr>
        <w:t xml:space="preserve">Figure 3 — From DTE counselling to enrolment and first registration.</w:t>
      </w:r>
    </w:p>
    <w:p>
      <w:pPr>
        <w:pStyle w:val="Heading2"/>
        <w:spacing w:after="100" w:before="220"/>
      </w:pPr>
      <w:r>
        <w:rPr>
          <w:b/>
          <w:bCs/>
          <w:color w:val="1A3A5C"/>
          <w:sz w:val="24"/>
          <w:szCs w:val="24"/>
        </w:rPr>
        <w:t xml:space="preserve">3.2 The academic semester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Each semester the student registers subjects (respecting the CBCS 12-credit minimum), attends classes, earns internal-assessment marks, and — if attendance and internals clear the bar — sits the end-semester exam. Marks combine as 20% internal + 80% external into a letter grade and SGPA.</w:t>
      </w:r>
    </w:p>
    <w:p>
      <w:pPr>
        <w:spacing w:after="40" w:before="140"/>
        <w:jc w:val="center"/>
      </w:pPr>
      <w:r>
        <w:drawing>
          <wp:inline distT="0" distB="0" distL="0" distR="0">
            <wp:extent cx="4267200" cy="733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A8598"/>
          <w:sz w:val="18"/>
          <w:szCs w:val="18"/>
        </w:rPr>
        <w:t xml:space="preserve">Figure 4 — The per-semester loop, with the eligibility gate and the two grade components.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A8598"/>
          <w:sz w:val="18"/>
          <w:szCs w:val="18"/>
        </w:rPr>
        <w:t xml:space="preserve">Figure 5 — Every course is marked out of 100: 20 internal + 80 external.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A8598"/>
          <w:sz w:val="18"/>
          <w:szCs w:val="18"/>
        </w:rPr>
        <w:t xml:space="preserve">Figure 6 — The CBCS 10-point grade scale used for SGPA/CGPA.</w:t>
      </w:r>
    </w:p>
    <w:p>
      <w:pPr>
        <w:pStyle w:val="Heading2"/>
        <w:spacing w:after="100" w:before="220"/>
      </w:pPr>
      <w:r>
        <w:rPr>
          <w:b/>
          <w:bCs/>
          <w:color w:val="1A3A5C"/>
          <w:sz w:val="24"/>
          <w:szCs w:val="24"/>
        </w:rPr>
        <w:t xml:space="preserve">3.3 Progression &amp; graduation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Backlogs are cleared through Supplementary (ATKT) exams. Once all eight semesters and credit requirements are met, the Degree Audit confirms graduation eligibility.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A8598"/>
          <w:sz w:val="18"/>
          <w:szCs w:val="18"/>
        </w:rPr>
        <w:t xml:space="preserve">Figure 7 — Backlogs, progression and the final degree audit.</w:t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4. Exam eligibility → hall ticket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The eligibility rule is what makes the “at-risk student” journey meaningful. A student must have at least 75% attendance (in aggregate and per course) and passing internal marks before the exam form unlocks and a hall ticket is generated.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543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A8598"/>
          <w:sz w:val="18"/>
          <w:szCs w:val="18"/>
        </w:rPr>
        <w:t xml:space="preserve">Figure 8 — The eligibility gate: Eligible, At Risk, or Detained.</w:t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5. Fees — in-app payment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Payment happens inside the portal — no external redirect. All charging goes through one swappable service, so a real gateway can replace the mock without touching any screen. A receipt PDF is generated on success, and the ledger updates instantly. Admins can also record counter payments from Fee Collection.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448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A8598"/>
          <w:sz w:val="18"/>
          <w:szCs w:val="18"/>
        </w:rPr>
        <w:t xml:space="preserve">Figure 9 — In-house payment flow through a single service seam.</w:t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6. Faculty marks → student reflection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The one cross-role data flow: a faculty member enters mid-semester and quiz marks, and the same value — computed identically on both sides — appears on the student's Internal Assessment screen.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A8598"/>
          <w:sz w:val="18"/>
          <w:szCs w:val="18"/>
        </w:rPr>
        <w:t xml:space="preserve">Figure 10 — A faculty entry flows straight onto the student's record.</w:t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7. Admin — permissions &amp; navigation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Each admin sub-role maps to a set of permissions. The sidebar hides menu items the role cannot access, and opening a page without permission shows a “No Access” card. A Super Admin edits the matrix live.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553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A8598"/>
          <w:sz w:val="18"/>
          <w:szCs w:val="18"/>
        </w:rPr>
        <w:t xml:space="preserve">Figure 11 — Permissions gate both the navigation and each page.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Default permissions by role:</w:t>
      </w:r>
    </w:p>
    <w:tbl>
      <w:tblPr>
        <w:tblW w:type="dxa" w:w="9026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shd w:fill="1A3A5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 capability</w:t>
            </w:r>
          </w:p>
        </w:tc>
        <w:tc>
          <w:tcPr>
            <w:tcW w:type="dxa" w:w="4426"/>
            <w:shd w:fill="1A3A5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 roles</w:t>
            </w:r>
          </w:p>
        </w:tc>
      </w:tr>
      <w:tr>
        <w:tc>
          <w:tcPr>
            <w:tcW w:type="dxa" w:w="46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View students</w:t>
            </w:r>
          </w:p>
        </w:tc>
        <w:tc>
          <w:tcPr>
            <w:tcW w:type="dxa" w:w="4426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all roles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Manage / import students</w:t>
            </w:r>
          </w:p>
        </w:tc>
        <w:tc>
          <w:tcPr>
            <w:tcW w:type="dxa" w:w="442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Super, Registrar</w:t>
            </w:r>
          </w:p>
        </w:tc>
      </w:tr>
      <w:tr>
        <w:tc>
          <w:tcPr>
            <w:tcW w:type="dxa" w:w="46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Fee collection &amp; verify payments</w:t>
            </w:r>
          </w:p>
        </w:tc>
        <w:tc>
          <w:tcPr>
            <w:tcW w:type="dxa" w:w="4426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Super, Accounts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Edit master data</w:t>
            </w:r>
          </w:p>
        </w:tc>
        <w:tc>
          <w:tcPr>
            <w:tcW w:type="dxa" w:w="442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Super, Registrar, Exam</w:t>
            </w:r>
          </w:p>
        </w:tc>
      </w:tr>
      <w:tr>
        <w:tc>
          <w:tcPr>
            <w:tcW w:type="dxa" w:w="46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Send announcements</w:t>
            </w:r>
          </w:p>
        </w:tc>
        <w:tc>
          <w:tcPr>
            <w:tcW w:type="dxa" w:w="4426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Super, Registrar, Exam, Dept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Reports</w:t>
            </w:r>
          </w:p>
        </w:tc>
        <w:tc>
          <w:tcPr>
            <w:tcW w:type="dxa" w:w="442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all roles</w:t>
            </w:r>
          </w:p>
        </w:tc>
      </w:tr>
      <w:tr>
        <w:tc>
          <w:tcPr>
            <w:tcW w:type="dxa" w:w="4600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Settings</w:t>
            </w:r>
          </w:p>
        </w:tc>
        <w:tc>
          <w:tcPr>
            <w:tcW w:type="dxa" w:w="4426"/>
            <w:shd w:fill="F7F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Super Admin</w:t>
            </w:r>
          </w:p>
        </w:tc>
      </w:tr>
      <w:tr>
        <w:tc>
          <w:tcPr>
            <w:tcW w:type="dxa" w:w="4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Roles &amp; Permissions</w:t>
            </w:r>
          </w:p>
        </w:tc>
        <w:tc>
          <w:tcPr>
            <w:tcW w:type="dxa" w:w="4426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3A4453"/>
                <w:sz w:val="19"/>
                <w:szCs w:val="19"/>
              </w:rPr>
              <w:t xml:space="preserve">Super Admin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8. Admin — bulk student import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New admissions can be added in bulk from a CSV: download the template, upload or paste, validate, preview, and import. Valid rows appear in the Students list as new admissions.</w:t>
      </w:r>
    </w:p>
    <w:p>
      <w:pPr>
        <w:spacing w:after="40" w:before="140"/>
        <w:jc w:val="center"/>
      </w:pPr>
      <w:r>
        <w:drawing>
          <wp:inline distT="0" distB="0" distL="0" distR="0">
            <wp:extent cx="3314700" cy="733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A8598"/>
          <w:sz w:val="18"/>
          <w:szCs w:val="18"/>
        </w:rPr>
        <w:t xml:space="preserve">Figure 12 — CSV import: parse, validate, preview, import.</w:t>
      </w:r>
    </w:p>
    <w:p>
      <w:pPr>
        <w:pStyle w:val="Heading1"/>
        <w:spacing w:after="140" w:before="320"/>
      </w:pPr>
      <w:r>
        <w:rPr>
          <w:b/>
          <w:bCs/>
          <w:color w:val="1A3A5C"/>
          <w:sz w:val="30"/>
          <w:szCs w:val="30"/>
        </w:rPr>
        <w:t xml:space="preserve">9. Data &amp; state flow</w:t>
      </w:r>
    </w:p>
    <w:p>
      <w:pPr>
        <w:spacing w:after="120" w:line="276"/>
      </w:pPr>
      <w:r>
        <w:rPr>
          <w:color w:val="3A4453"/>
          <w:sz w:val="21"/>
          <w:szCs w:val="21"/>
        </w:rPr>
        <w:t xml:space="preserve">Static seed data is the source of truth; stores layer live changes on top. A screen combines seed data (via accessors), domain calculations, and the session/settings/demo stores to render the final UI.</w:t>
      </w:r>
    </w:p>
    <w:p>
      <w:pPr>
        <w:spacing w:after="40" w:before="14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A8598"/>
          <w:sz w:val="18"/>
          <w:szCs w:val="18"/>
        </w:rPr>
        <w:t xml:space="preserve">Figure 13 — How seed data and runtime state combine to render a screen.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98"/>
        <w:sz w:val="15"/>
        <w:szCs w:val="15"/>
      </w:rPr>
      <w:t xml:space="preserve">IET DAVV SLC — Functional Workflow   ·   </w:t>
    </w:r>
    <w:r>
      <w:rPr>
        <w:color w:val="7A85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rPr>
        <w:color w:val="B07A3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445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626590fadae6f38f6ebbff67ec3038b02913340.png"/><Relationship Id="rId9" Type="http://schemas.openxmlformats.org/officeDocument/2006/relationships/image" Target="media/aade01878ab5b0a7d79ff5097db7286c26147085.png"/><Relationship Id="rId10" Type="http://schemas.openxmlformats.org/officeDocument/2006/relationships/image" Target="media/313649a048e45bfd8b33c3c83be98fac7d08cc24.png"/><Relationship Id="rId11" Type="http://schemas.openxmlformats.org/officeDocument/2006/relationships/image" Target="media/e7d29139b37679fc31dddcd89a521b599c6ca55e.png"/><Relationship Id="rId12" Type="http://schemas.openxmlformats.org/officeDocument/2006/relationships/image" Target="media/7bb7df472e9146c763df01de4298c59c74473f04.png"/><Relationship Id="rId13" Type="http://schemas.openxmlformats.org/officeDocument/2006/relationships/image" Target="media/80cdbb865a31c093019e3a8a95cfcb7cf521e172.png"/><Relationship Id="rId14" Type="http://schemas.openxmlformats.org/officeDocument/2006/relationships/image" Target="media/cb96b0a626d73a9222c849f6ae753a2892955500.png"/><Relationship Id="rId15" Type="http://schemas.openxmlformats.org/officeDocument/2006/relationships/image" Target="media/e93c43367f7fb43c3def2a1c43d25674a0f40b2d.png"/><Relationship Id="rId16" Type="http://schemas.openxmlformats.org/officeDocument/2006/relationships/image" Target="media/dc3df29e512799d90451c64bf6c872f884504904.png"/><Relationship Id="rId17" Type="http://schemas.openxmlformats.org/officeDocument/2006/relationships/image" Target="media/d220f041f5366c34baeae69bacd4c6a9ec075fb2.png"/><Relationship Id="rId18" Type="http://schemas.openxmlformats.org/officeDocument/2006/relationships/image" Target="media/30481476ad75327f4e9eaa5da9e53ce973de318d.png"/><Relationship Id="rId19" Type="http://schemas.openxmlformats.org/officeDocument/2006/relationships/image" Target="media/81f89d369622a576ecde382bca45abd41df76cc2.png"/><Relationship Id="rId20" Type="http://schemas.openxmlformats.org/officeDocument/2006/relationships/image" Target="media/54f9fa0af7ef3b0644e148d0463176e795ef72a5.png"/><Relationship Id="rId21" Type="http://schemas.openxmlformats.org/officeDocument/2006/relationships/image" Target="media/014b0cb95073fa58928b2872071ed6e43aaab1ea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2026-07-07T19:15:20.573Z</dcterms:created>
  <dcterms:modified xsi:type="dcterms:W3CDTF">2026-07-07T19:15:20.573Z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