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rPr>
          <w:b/>
          <w:bCs/>
          <w:sz w:val="36"/>
          <w:szCs w:val="36"/>
        </w:rPr>
        <w:t xml:space="preserve">Stock Report: Microsoft Corporation (MSFT)</w:t>
      </w:r>
    </w:p>
    <w:p>
      <w:pPr>
        <w:spacing w:after="200"/>
      </w:pPr>
      <w:r>
        <w:t xml:space="preserve">Price: 371.55 USD | Market Cap: 2761499869184</w:t>
      </w:r>
    </w:p>
    <w:p>
      <w:pPr>
        <w:pStyle w:val="Heading1"/>
        <w:spacing w:before="200" w:after="100"/>
      </w:pPr>
      <w:r>
        <w:rPr>
          <w:b/>
          <w:bCs/>
          <w:sz w:val="28"/>
          <w:szCs w:val="28"/>
        </w:rPr>
        <w:t xml:space="preserve">Executive Summary</w:t>
      </w:r>
    </w:p>
    <w:p>
      <w:pPr>
        <w:spacing w:after="200"/>
      </w:pPr>
      <w:r>
        <w:t xml:space="preserve">**
Microsoft Corporation (MSFT) is a global technology leader specializing in software, cloud computing, artificial intelligence (AI), and enterprise solutions. The company operates through three core segments: **Productivity and Business Processes** (e.g., Microsoft 365, LinkedIn, Dynamics 365), **Intelligent Cloud** (Azure, GitHub, server products), and **More Personal Computing** (Windows, gaming, devices). With a current stock price of **$371.55**, Microsoft remains a dominant force in cloud infrastructure, AI innovation, and productivity tools, though its valuation has faced scrutiny amid a **28.6% drop over the past six months**. Recent strategic moves include a **$6.5B+ investment in AI and cloud infrastructure** and ambitions to develop cutting-edge AI models by 2027, positioning the company at the forefront of the AI arms race against competitors like Apple and Google.
Despite short-term volatility, Microsoft’s diversified revenue streams—anchored by recurring cloud and subscription services—provide resilience. The company’s focus on AI integration (e.g., Copilot, Azure AI) and long-term infrastructure buildout contrasts with Apple’s hardware-centric growth (e.g., $85B iPhone surge), highlighting differing strategic priorities. While valuation concerns persist, Microsoft’s strong cash flow, market leadership in enterprise software, and aggressive AI investments suggest a robust foundation for future growth, albeit with execution risks in a rapidly evolving tech landscape.
**</w:t>
      </w:r>
    </w:p>
    <w:p>
      <w:pPr>
        <w:pStyle w:val="Heading1"/>
        <w:spacing w:before="200" w:after="100"/>
      </w:pPr>
      <w:r>
        <w:rPr>
          <w:b/>
          <w:bCs/>
          <w:sz w:val="28"/>
          <w:szCs w:val="28"/>
        </w:rPr>
        <w:t xml:space="preserve">Key Takeaways</w:t>
      </w:r>
    </w:p>
    <w:p>
      <w:pPr>
        <w:spacing w:after="100"/>
      </w:pPr>
      <w:r>
        <w:t xml:space="preserve">- **Cloud &amp; AI Dominance**: Microsoft is heavily investing (**$6.5B+**) in AI and cloud infrastructure, including Azure and next-gen AI models, to maintain its lead in enterprise and consumer markets.</w:t>
      </w:r>
    </w:p>
    <w:p>
      <w:pPr>
        <w:spacing w:after="100"/>
      </w:pPr>
      <w:r>
        <w:t xml:space="preserve">- **Diversified Revenue Streams**: Key segments—**Productivity (Microsoft 365, LinkedIn), Intelligent Cloud (Azure, GitHub), and Personal Computing (Windows, Xbox)**—provide stability and recurring revenue.</w:t>
      </w:r>
    </w:p>
    <w:p>
      <w:pPr>
        <w:spacing w:after="100"/>
      </w:pPr>
      <w:r>
        <w:t xml:space="preserve">- **Stock Volatility**: Despite a **28.6% decline in 6 months**, analysts recommend holding due to long-term growth potential in AI, cloud, and enterprise solutions.</w:t>
      </w:r>
    </w:p>
    <w:p>
      <w:pPr>
        <w:spacing w:after="100"/>
      </w:pPr>
      <w:r>
        <w:t xml:space="preserve">- **Competitive AI Push**: Microsoft aims to build **state-of-the-art AI models by 2027**, positioning itself against rivals like Apple (focused on hardware) and Google (AI/ads).</w:t>
      </w:r>
    </w:p>
    <w:p>
      <w:pPr>
        <w:spacing w:after="100"/>
      </w:pPr>
      <w:r>
        <w:t xml:space="preserve">- **Strategic Acquisitions**: Recent moves (e.g., OpenAI’s acquisition of *TBPN*) signal Microsoft’s commitment to expanding its AI ecosystem and talent pool.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MSFT Report</dc:title>
  <dc:creator>Scrappy</dc:creator>
  <cp:lastModifiedBy>Un-named</cp:lastModifiedBy>
  <cp:revision>1</cp:revision>
  <dcterms:created xsi:type="dcterms:W3CDTF">2026-04-02T18:07:41.436Z</dcterms:created>
  <dcterms:modified xsi:type="dcterms:W3CDTF">2026-04-02T18:07:41.436Z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