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  <w:sz w:val="36"/>
          <w:szCs w:val="36"/>
        </w:rPr>
        <w:t xml:space="preserve">Stock Report: Tesla, Inc. (TSLA)</w:t>
      </w:r>
    </w:p>
    <w:p>
      <w:pPr>
        <w:spacing w:after="200"/>
      </w:pPr>
      <w:r>
        <w:t xml:space="preserve">Price: 360.04 USD | Market Cap: 1351025557504</w:t>
      </w:r>
    </w:p>
    <w:p>
      <w:pPr>
        <w:pStyle w:val="Heading1"/>
        <w:spacing w:before="200" w:after="100"/>
      </w:pPr>
      <w:r>
        <w:rPr>
          <w:b/>
          <w:bCs/>
          <w:sz w:val="28"/>
          <w:szCs w:val="28"/>
        </w:rPr>
        <w:t xml:space="preserve">Executive Summary</w:t>
      </w:r>
    </w:p>
    <w:p>
      <w:pPr>
        <w:spacing w:after="200"/>
      </w:pPr>
      <w:r>
        <w:t xml:space="preserve">**
Tesla, Inc. (TSLA) is a leading innovator in electric vehicles (EVs), energy generation, and storage solutions, operating through two primary segments: **Automotive** and **Energy Generation and Storage**. The company designs, manufactures, and sells EVs (including sedans and SUVs), energy storage systems (e.g., Powerwall, Megapack), and solar products, while also offering financing, leasing, and insurance services. Tesla’s direct-to-consumer sales model, proprietary Supercharger network, and software-driven features (e.g., Full Self-Driving, or FSD) differentiate it from traditional automakers. However, recent headlines highlight mixed performance: Q1 delivery numbers fell short of expectations amid a challenging global EV market, while strategic bets like robotaxis and infrastructure expansion (e.g., Japan) signal long-term growth ambitions. Analyst sentiment remains cautiously optimistic, with Baird adjusting its price target slightly downward but maintaining an "Outperform" rating, reflecting Tesla’s volatile yet high-growth trajectory.
Despite near-term headwinds—including delivery misses and macroeconomic pressures—Tesla’s focus on AI-driven autonomy (FSD v14.3 rollout), energy solutions, and international expansion underscores its ambition to dominate multiple industries. The stock’s recent 3% dip post-Q1 results contrasts with its long-term vision, particularly the $20 billion robotaxi initiative, which could redefine profitability if executed successfully. Investors are balancing short-term execution risks against Tesla’s disruptive potential in mobility and energy.
**</w:t>
      </w:r>
    </w:p>
    <w:p>
      <w:pPr>
        <w:pStyle w:val="Heading1"/>
        <w:spacing w:before="200" w:after="100"/>
      </w:pPr>
      <w:r>
        <w:rPr>
          <w:b/>
          <w:bCs/>
          <w:sz w:val="28"/>
          <w:szCs w:val="28"/>
        </w:rPr>
        <w:t xml:space="preserve">Key Takeaways</w:t>
      </w:r>
    </w:p>
    <w:p>
      <w:pPr>
        <w:spacing w:after="100"/>
      </w:pPr>
      <w:r>
        <w:t xml:space="preserve">- **Dual-Segment Leadership**: Tesla operates in **Automotive** (EVs, regulatory credits, services) and **Energy Generation/Storage** (solar, Powerwall, Megapack), positioning itself as a vertically integrated clean-energy company.</w:t>
      </w:r>
    </w:p>
    <w:p>
      <w:pPr>
        <w:spacing w:after="100"/>
      </w:pPr>
      <w:r>
        <w:t xml:space="preserve">- **Delivery Shortfall &amp; Market Reaction**: Q1 2024 deliveries disappointed, triggering a 3% stock drop, though Wedbush attributes the miss to broader EV demand softness rather than Tesla-specific issues.</w:t>
      </w:r>
    </w:p>
    <w:p>
      <w:pPr>
        <w:spacing w:after="100"/>
      </w:pPr>
      <w:r>
        <w:t xml:space="preserve">- **Autonomy &amp; Robotaxis**: The $20B robotaxi bet and FSD v14.3 rollout highlight Tesla’s push toward AI-driven revenue streams, which could offset near-term automotive margin pressures.</w:t>
      </w:r>
    </w:p>
    <w:p>
      <w:pPr>
        <w:spacing w:after="100"/>
      </w:pPr>
      <w:r>
        <w:t xml:space="preserve">- **Global Expansion**: Infrastructure growth in **Japan** and other markets signals Tesla’s efforts to diversify beyond the U.S. and China, mitigating geopolitical risks.</w:t>
      </w:r>
    </w:p>
    <w:p>
      <w:pPr>
        <w:spacing w:after="100"/>
      </w:pPr>
      <w:r>
        <w:t xml:space="preserve">- **Analyst Sentiment**: Baird’s adjusted price target ($538 → $548) and "Outperform" rating reflect confidence in Tesla’s long-term narrative, despite short-term volatility.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TSLA Report</dc:title>
  <dc:creator>Scrappy</dc:creator>
  <cp:lastModifiedBy>Un-named</cp:lastModifiedBy>
  <cp:revision>1</cp:revision>
  <dcterms:created xsi:type="dcterms:W3CDTF">2026-04-02T17:59:34.539Z</dcterms:created>
  <dcterms:modified xsi:type="dcterms:W3CDTF">2026-04-02T17:59:34.539Z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