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sz w:val="36"/>
          <w:szCs w:val="36"/>
        </w:rPr>
        <w:t xml:space="preserve">Stock Report: Tesla, Inc. (TSLA)</w:t>
      </w:r>
    </w:p>
    <w:p>
      <w:pPr>
        <w:spacing w:after="200"/>
      </w:pPr>
      <w:r>
        <w:t xml:space="preserve">Price: 360.35 USD | Market Cap: 1352188821504</w:t>
      </w:r>
    </w:p>
    <w:p>
      <w:pPr>
        <w:pStyle w:val="Heading1"/>
        <w:spacing w:before="200" w:after="100"/>
      </w:pPr>
      <w:r>
        <w:rPr>
          <w:b/>
          <w:bCs/>
          <w:sz w:val="28"/>
          <w:szCs w:val="28"/>
        </w:rPr>
        <w:t xml:space="preserve">Executive Summary</w:t>
      </w:r>
    </w:p>
    <w:p>
      <w:pPr>
        <w:spacing w:after="200"/>
      </w:pPr>
      <w:r>
        <w:t xml:space="preserve">**
Tesla, Inc. (TSLA) is a leading innovator in electric vehicles (EVs), energy generation, and storage solutions, operating through two primary segments: **Automotive** and **Energy Generation and Storage**. The company designs, manufactures, and sells EVs (including sedans and SUVs), energy storage systems (e.g., Powerwall, Megapack), and solar products, while also offering financing, leasing, and insurance services. Tesla’s vertically integrated model—spanning vehicle production, software (e.g., Full Self-Driving or FSD), charging infrastructure (Superchargers), and energy solutions—positions it as a disruptor in both the automotive and clean energy sectors. However, recent challenges, including **underwhelming Q1 2024 delivery numbers** and a **3% stock decline** following the shortfall, have raised questions about demand softness in the global EV market and the timing of Tesla’s ambitious bets, such as its $20 billion robotaxi initiative.
Despite near-term headwinds, Tesla remains a high-growth, high-risk play with significant long-term potential. Analysts like **Wedbush** and **Baird** acknowledge short-term pressures but maintain bullish outlooks, citing Tesla’s technological edge (e.g., FSD v14.3 rollout), infrastructure expansion (e.g., Japan), and regulatory credit revenue. The stock’s volatility reflects investor sensitivity to execution risks, particularly as Tesla balances scaling production, managing competition, and delivering on its autonomous driving and energy storage roadmaps.
**</w:t>
      </w:r>
    </w:p>
    <w:p>
      <w:pPr>
        <w:pStyle w:val="Heading1"/>
        <w:spacing w:before="200" w:after="100"/>
      </w:pPr>
      <w:r>
        <w:rPr>
          <w:b/>
          <w:bCs/>
          <w:sz w:val="28"/>
          <w:szCs w:val="28"/>
        </w:rPr>
        <w:t xml:space="preserve">Key Takeaways</w:t>
      </w:r>
    </w:p>
    <w:p>
      <w:pPr>
        <w:spacing w:after="100"/>
      </w:pPr>
      <w:r>
        <w:t xml:space="preserve">- **Dual-Segment Business Model**: Tesla operates in **Automotive** (EVs, software, services) and **Energy Generation/Storage** (solar, Powerwall, Megapack), with the latter growing as a key revenue driver amid EV market maturation.</w:t>
      </w:r>
    </w:p>
    <w:p>
      <w:pPr>
        <w:spacing w:after="100"/>
      </w:pPr>
      <w:r>
        <w:t xml:space="preserve">- **Q1 Delivery Miss**: **180,000+ vehicles delivered** (below expectations) triggered a **3% stock drop**, highlighting concerns over global EV demand softness and production bottlenecks, though Wedbush calls the miss "not surprising" given macroeconomic conditions.</w:t>
      </w:r>
    </w:p>
    <w:p>
      <w:pPr>
        <w:spacing w:after="100"/>
      </w:pPr>
      <w:r>
        <w:t xml:space="preserve">- **Robotaxi and FSD Bets**: Tesla’s **$20B robotaxi project** and **FSD v14.3 rollout** are critical to long-term valuation, but delays or underperformance could pressure investor confidence. Analysts debate whether these initiatives justify current multiples.</w:t>
      </w:r>
    </w:p>
    <w:p>
      <w:pPr>
        <w:spacing w:after="100"/>
      </w:pPr>
      <w:r>
        <w:t xml:space="preserve">- **Analyst Sentiment Mixed**: **Baird cut its price target to $538 (from $548)** but kept an **Outperform rating**, while others (e.g., Wedbush) emphasize Tesla’s **infrastructure expansion** (e.g., Japan) and **regulatory credit revenue** as near-term buffers.</w:t>
      </w:r>
    </w:p>
    <w:p>
      <w:pPr>
        <w:spacing w:after="100"/>
      </w:pPr>
      <w:r>
        <w:t xml:space="preserve">- **Competitive and Macro Risks**: Tesla faces **intensifying EV competition** (BYD, legacy automakers) and **higher interest rates**, which may dampen consumer demand. Energy storage growth and cost-cutting measures (e.g., layoffs) are key levers to offset automotive headwinds.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TSLA Report</dc:title>
  <dc:creator>Scrappy</dc:creator>
  <cp:lastModifiedBy>Un-named</cp:lastModifiedBy>
  <cp:revision>1</cp:revision>
  <dcterms:created xsi:type="dcterms:W3CDTF">2026-04-02T18:07:47.396Z</dcterms:created>
  <dcterms:modified xsi:type="dcterms:W3CDTF">2026-04-02T18:07:47.396Z</dcterms:modified>
</cp:coreProperties>
</file>

<file path=docProps/custom.xml><?xml version="1.0" encoding="utf-8"?>
<Properties xmlns="http://schemas.openxmlformats.org/officeDocument/2006/custom-properties" xmlns:vt="http://schemas.openxmlformats.org/officeDocument/2006/docPropsVTypes"/>
</file>