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sz w:val="36"/>
          <w:szCs w:val="36"/>
        </w:rPr>
        <w:t xml:space="preserve">Stock Report: Microsoft Corporation (MSFT)</w:t>
      </w:r>
    </w:p>
    <w:p>
      <w:pPr>
        <w:spacing w:after="200"/>
      </w:pPr>
      <w:r>
        <w:t xml:space="preserve">Price: 371.275 USD | Market Cap: 2759455932416</w:t>
      </w:r>
    </w:p>
    <w:p>
      <w:pPr>
        <w:pStyle w:val="Heading1"/>
        <w:spacing w:before="200" w:after="100"/>
      </w:pPr>
      <w:r>
        <w:rPr>
          <w:b/>
          <w:bCs/>
          <w:sz w:val="28"/>
          <w:szCs w:val="28"/>
        </w:rPr>
        <w:t xml:space="preserve">Executive Summary</w:t>
      </w:r>
    </w:p>
    <w:p>
      <w:pPr>
        <w:spacing w:after="200"/>
      </w:pPr>
      <w:r>
        <w:t xml:space="preserve">**
Microsoft Corporation (MSFT) is a global technology leader specializing in software, cloud computing, artificial intelligence (AI), and enterprise solutions. The company operates through three primary segments: **Productivity and Business Processes** (e.g., Microsoft 365, LinkedIn, Dynamics 365), **Intelligent Cloud** (e.g., Azure, GitHub, server products), and **More Personal Computing** (e.g., Windows, gaming, devices). With a current stock price of **$371.28**, Microsoft remains a dominant force in AI and cloud infrastructure, recently committing over **$6.5 billion** to expand its AI and cloud capabilities. Despite a **28.6% drop in stock price over the past six months**, analysts highlight its long-term resilience, driven by strong recurring revenue streams (e.g., subscriptions, enterprise contracts) and strategic investments in next-generation AI models, aiming to compete with industry peers like Apple and OpenAI.
Recent developments underscore Microsoft’s aggressive push into AI, including plans to build **state-of-the-art AI models by 2027** and a **$30 billion AI infrastructure buildout**—dwarfing Apple’s $85 billion iPhone surge in scale. The company’s valuation remains a topic of debate, with some investors questioning its premium pricing amid macroeconomic headwinds, while others emphasize its diversified revenue streams, robust cash flow, and leadership in cloud computing (Azure) and productivity tools. The acquisition of **TBPN by OpenAI** (a key Microsoft partner) further signals the company’s influence in shaping the AI ecosystem, though it also introduces competitive dynamics in the tech sector.
**</w:t>
      </w:r>
    </w:p>
    <w:p>
      <w:pPr>
        <w:pStyle w:val="Heading1"/>
        <w:spacing w:before="200" w:after="100"/>
      </w:pPr>
      <w:r>
        <w:rPr>
          <w:b/>
          <w:bCs/>
          <w:sz w:val="28"/>
          <w:szCs w:val="28"/>
        </w:rPr>
        <w:t xml:space="preserve">Key Takeaways</w:t>
      </w:r>
    </w:p>
    <w:p>
      <w:pPr>
        <w:spacing w:after="100"/>
      </w:pPr>
      <w:r>
        <w:t xml:space="preserve">- **AI and Cloud Dominance**: Microsoft is heavily investing (**$6.5B+**) in AI and cloud infrastructure, positioning itself as a leader in enterprise AI with plans to develop cutting-edge models by **2027**. Azure remains a critical growth driver, competing with AWS and Google Cloud.</w:t>
      </w:r>
    </w:p>
    <w:p>
      <w:pPr>
        <w:spacing w:after="100"/>
      </w:pPr>
      <w:r>
        <w:t xml:space="preserve">- **Diversified Revenue Streams**: The company’s business spans **subscription services** (Microsoft 365, LinkedIn), **cloud computing** (Azure, GitHub), and **consumer products** (Windows, Xbox), providing stability amid market volatility.</w:t>
      </w:r>
    </w:p>
    <w:p>
      <w:pPr>
        <w:spacing w:after="100"/>
      </w:pPr>
      <w:r>
        <w:t xml:space="preserve">- **Stock Performance Concerns**: Despite a **28.6% decline over 6 months**, analysts recommend holding MSFT due to its **long-term growth potential**, strong cash flow, and recurring revenue from enterprise clients.</w:t>
      </w:r>
    </w:p>
    <w:p>
      <w:pPr>
        <w:spacing w:after="100"/>
      </w:pPr>
      <w:r>
        <w:t xml:space="preserve">- **Competitive Pressures**: Microsoft’s **$30B AI buildout** contrasts with Apple’s **$85B iPhone surge**, highlighting differing strategic priorities. The company also faces competition from OpenAI (its partner) and other tech giants in AI and cloud services.</w:t>
      </w:r>
    </w:p>
    <w:p>
      <w:pPr>
        <w:spacing w:after="100"/>
      </w:pPr>
      <w:r>
        <w:t xml:space="preserve">- **Strategic Acquisitions &amp; Partnerships**: Recent moves, such as OpenAI’s acquisition of **TBPN**, reflect Microsoft’s ecosystem strategy but also introduce potential conflicts in the AI space. The company’s focus on **healthcare AI (Nuance)** and **developer tools (GitHub)** further expands its addressable 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MSFT Report</dc:title>
  <dc:creator>Scrappy</dc:creator>
  <cp:lastModifiedBy>Un-named</cp:lastModifiedBy>
  <cp:revision>1</cp:revision>
  <dcterms:created xsi:type="dcterms:W3CDTF">2026-04-02T18:14:56.843Z</dcterms:created>
  <dcterms:modified xsi:type="dcterms:W3CDTF">2026-04-02T18:14:56.843Z</dcterms:modified>
</cp:coreProperties>
</file>

<file path=docProps/custom.xml><?xml version="1.0" encoding="utf-8"?>
<Properties xmlns="http://schemas.openxmlformats.org/officeDocument/2006/custom-properties" xmlns:vt="http://schemas.openxmlformats.org/officeDocument/2006/docPropsVTypes"/>
</file>