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sz w:val="36"/>
          <w:szCs w:val="36"/>
        </w:rPr>
        <w:t xml:space="preserve">Stock Report: Tesla, Inc. (TSLA)</w:t>
      </w:r>
    </w:p>
    <w:p>
      <w:pPr>
        <w:spacing w:after="200"/>
      </w:pPr>
      <w:r>
        <w:t xml:space="preserve">Price: 360.29 USD | Market Cap: 1351963770880</w:t>
      </w:r>
    </w:p>
    <w:p>
      <w:pPr>
        <w:pStyle w:val="Heading1"/>
        <w:spacing w:before="200" w:after="100"/>
      </w:pPr>
      <w:r>
        <w:rPr>
          <w:b/>
          <w:bCs/>
          <w:sz w:val="28"/>
          <w:szCs w:val="28"/>
        </w:rPr>
        <w:t xml:space="preserve">Executive Summary</w:t>
      </w:r>
    </w:p>
    <w:p>
      <w:pPr>
        <w:spacing w:after="200"/>
      </w:pPr>
      <w:r>
        <w:t xml:space="preserve">**
Tesla, Inc. (TSLA) is a leading innovator in electric vehicles (EVs), energy generation, and storage solutions, operating through two primary segments: **Automotive** and **Energy Generation and Storage**. The company designs, manufactures, and sells EVs (including sedans and SUVs) alongside energy products like solar panels and battery storage systems. Tesla’s business model emphasizes vertical integration, direct sales, and software-driven features (e.g., Full Self-Driving, or FSD), while also monetizing regulatory credits, insurance, and services. Despite its disruptive potential, Tesla faces challenges such as production scaling, global EV competition, and macroeconomic pressures, as reflected in its recent stock performance (currently trading at **$360.29**) and mixed analyst sentiment.
Recent developments highlight both operational strides and headwinds. Tesla is expanding infrastructure (e.g., in Japan) and refining its FSD technology, but Q1 delivery numbers disappointed analysts, citing a weak global EV demand backdrop. Analysts remain divided on Tesla’s valuation, with price targets ranging from **$400 (Truist, Hold)** to **$538 (Baird, Outperform)**, underscoring uncertainty about its growth trajectory amid margin pressures and regulatory risks.</w:t>
      </w:r>
    </w:p>
    <w:p>
      <w:pPr>
        <w:pStyle w:val="Heading1"/>
        <w:spacing w:before="200" w:after="100"/>
      </w:pPr>
      <w:r>
        <w:rPr>
          <w:b/>
          <w:bCs/>
          <w:sz w:val="28"/>
          <w:szCs w:val="28"/>
        </w:rPr>
        <w:t xml:space="preserve">Key Takeaways</w:t>
      </w:r>
    </w:p>
    <w:p>
      <w:pPr>
        <w:spacing w:after="100"/>
      </w:pPr>
      <w:r>
        <w:t xml:space="preserve">- **Dual-Segment Leadership**: Tesla operates in **Automotive** (EVs, software, services) and **Energy** (solar/storage), leveraging synergies between clean energy and transportation.</w:t>
      </w:r>
    </w:p>
    <w:p>
      <w:pPr>
        <w:spacing w:after="100"/>
      </w:pPr>
      <w:r>
        <w:t xml:space="preserve">- **Innovation Focus**: Advances in **FSD v14.3** and infrastructure (e.g., Superchargers, Japan expansion) aim to strengthen its competitive edge, though wider rollouts remain cautious.</w:t>
      </w:r>
    </w:p>
    <w:p>
      <w:pPr>
        <w:spacing w:after="100"/>
      </w:pPr>
      <w:r>
        <w:t xml:space="preserve">- **Mixed Q1 Performance**: "Underwhelming" delivery numbers reflect global EV demand softness, pressuring margins despite Tesla’s market dominance.</w:t>
      </w:r>
    </w:p>
    <w:p>
      <w:pPr>
        <w:spacing w:after="100"/>
      </w:pPr>
      <w:r>
        <w:t xml:space="preserve">- **Analyst Divergence**: Price targets vary widely (**$400–$538**), signaling debate over Tesla’s valuation amid execution risks and macroeconomic challenges.</w:t>
      </w:r>
    </w:p>
    <w:p>
      <w:pPr>
        <w:spacing w:after="100"/>
      </w:pPr>
      <w:r>
        <w:t xml:space="preserve">- **Regulatory &amp; Competitive Pressures**: Relies on regulatory credits for profitability; faces intensifying competition from legacy automakers and Chinese EV manufacturers.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TSLA Report</dc:title>
  <dc:creator>Scrappy</dc:creator>
  <cp:lastModifiedBy>Un-named</cp:lastModifiedBy>
  <cp:revision>1</cp:revision>
  <dcterms:created xsi:type="dcterms:W3CDTF">2026-04-02T18:14:54.622Z</dcterms:created>
  <dcterms:modified xsi:type="dcterms:W3CDTF">2026-04-02T18:14:54.622Z</dcterms:modified>
</cp:coreProperties>
</file>

<file path=docProps/custom.xml><?xml version="1.0" encoding="utf-8"?>
<Properties xmlns="http://schemas.openxmlformats.org/officeDocument/2006/custom-properties" xmlns:vt="http://schemas.openxmlformats.org/officeDocument/2006/docPropsVTypes"/>
</file>