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0B2545"/>
          <w:sz w:val="36"/>
        </w:rPr>
        <w:t>2025年度经营分析简报</w:t>
      </w:r>
    </w:p>
    <w:p>
      <w:pPr>
        <w:jc w:val="center"/>
      </w:pPr>
      <w:r>
        <w:rPr>
          <w:rFonts w:ascii="Microsoft YaHei" w:hAnsi="Microsoft YaHei"/>
          <w:color w:val="555555"/>
          <w:sz w:val="20"/>
        </w:rPr>
        <w:t>示例集团财务管理部 | FIN-BRIEF-2026-001 | 企业级模拟文档</w:t>
      </w:r>
    </w:p>
    <w:p>
      <w:pPr>
        <w:pStyle w:val="Heading1"/>
      </w:pPr>
      <w:r>
        <w:t>一、报告摘要</w:t>
      </w:r>
    </w:p>
    <w:p>
      <w:r>
        <w:t>本报告为示例集团2025年度经营分析模拟稿，面向董事会、经营管理委员会、财务共享中心和业务线负责人。报告采用管理口径，除特别说明外，金额单位为人民币亿元。本文档用于RAG知识库上传测试，包含业务背景、指标口径、管理层讨论、风险提示和后续行动项。</w:t>
      </w:r>
    </w:p>
    <w:p>
      <w:r>
        <w:t>2025年公司实现营业收入128.6亿元，同比增长11.8%；归属于母公司股东的净利润14.2亿元，同比增长8.4%；经营活动现金流净额18.7亿元，现金收入比104.5%。收入增长主要来自云订阅、行业解决方案和存量客户续约。第四季度大型项目验收集中，导致应收账款周转天数上升至76天。</w:t>
      </w:r>
    </w:p>
    <w:p>
      <w:r>
        <w:t>管理层判断，2026年收入增长的关键不再是单纯扩大项目数量，而是提升标准化交付比例、缩短验收周期、改善渠道回款结构，并通过合同条款前置约定阶段验收、付款触发条件和延期责任。</w:t>
      </w:r>
    </w:p>
    <w:p>
      <w:pPr>
        <w:pStyle w:val="Heading1"/>
      </w:pPr>
      <w:r>
        <w:t>二、主要经营指标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指标</w:t>
            </w:r>
          </w:p>
        </w:tc>
        <w:tc>
          <w:tcPr>
            <w:tcW w:type="dxa" w:w="1930"/>
          </w:tcPr>
          <w:p>
            <w:r>
              <w:t>2024年</w:t>
            </w:r>
          </w:p>
        </w:tc>
        <w:tc>
          <w:tcPr>
            <w:tcW w:type="dxa" w:w="1930"/>
          </w:tcPr>
          <w:p>
            <w:r>
              <w:t>2025年</w:t>
            </w:r>
          </w:p>
        </w:tc>
        <w:tc>
          <w:tcPr>
            <w:tcW w:type="dxa" w:w="1930"/>
          </w:tcPr>
          <w:p>
            <w:r>
              <w:t>同比变化</w:t>
            </w:r>
          </w:p>
        </w:tc>
        <w:tc>
          <w:tcPr>
            <w:tcW w:type="dxa" w:w="1930"/>
          </w:tcPr>
          <w:p>
            <w:r>
              <w:t>管理解读</w:t>
            </w:r>
          </w:p>
        </w:tc>
      </w:tr>
      <w:tr>
        <w:tc>
          <w:tcPr>
            <w:tcW w:type="dxa" w:w="1930"/>
          </w:tcPr>
          <w:p>
            <w:r>
              <w:t>营业收入</w:t>
            </w:r>
          </w:p>
        </w:tc>
        <w:tc>
          <w:tcPr>
            <w:tcW w:type="dxa" w:w="1930"/>
          </w:tcPr>
          <w:p>
            <w:r>
              <w:t>115.0</w:t>
            </w:r>
          </w:p>
        </w:tc>
        <w:tc>
          <w:tcPr>
            <w:tcW w:type="dxa" w:w="1930"/>
          </w:tcPr>
          <w:p>
            <w:r>
              <w:t>128.6</w:t>
            </w:r>
          </w:p>
        </w:tc>
        <w:tc>
          <w:tcPr>
            <w:tcW w:type="dxa" w:w="1930"/>
          </w:tcPr>
          <w:p>
            <w:r>
              <w:t>11.8%</w:t>
            </w:r>
          </w:p>
        </w:tc>
        <w:tc>
          <w:tcPr>
            <w:tcW w:type="dxa" w:w="1930"/>
          </w:tcPr>
          <w:p>
            <w:r>
              <w:t>云订阅和行业解决方案驱动增长</w:t>
            </w:r>
          </w:p>
        </w:tc>
      </w:tr>
      <w:tr>
        <w:tc>
          <w:tcPr>
            <w:tcW w:type="dxa" w:w="1930"/>
          </w:tcPr>
          <w:p>
            <w:r>
              <w:t>归母净利润</w:t>
            </w:r>
          </w:p>
        </w:tc>
        <w:tc>
          <w:tcPr>
            <w:tcW w:type="dxa" w:w="1930"/>
          </w:tcPr>
          <w:p>
            <w:r>
              <w:t>13.1</w:t>
            </w:r>
          </w:p>
        </w:tc>
        <w:tc>
          <w:tcPr>
            <w:tcW w:type="dxa" w:w="1930"/>
          </w:tcPr>
          <w:p>
            <w:r>
              <w:t>14.2</w:t>
            </w:r>
          </w:p>
        </w:tc>
        <w:tc>
          <w:tcPr>
            <w:tcW w:type="dxa" w:w="1930"/>
          </w:tcPr>
          <w:p>
            <w:r>
              <w:t>8.4%</w:t>
            </w:r>
          </w:p>
        </w:tc>
        <w:tc>
          <w:tcPr>
            <w:tcW w:type="dxa" w:w="1930"/>
          </w:tcPr>
          <w:p>
            <w:r>
              <w:t>研发投入保持高位，利润增速低于收入</w:t>
            </w:r>
          </w:p>
        </w:tc>
      </w:tr>
      <w:tr>
        <w:tc>
          <w:tcPr>
            <w:tcW w:type="dxa" w:w="1930"/>
          </w:tcPr>
          <w:p>
            <w:r>
              <w:t>综合毛利率</w:t>
            </w:r>
          </w:p>
        </w:tc>
        <w:tc>
          <w:tcPr>
            <w:tcW w:type="dxa" w:w="1930"/>
          </w:tcPr>
          <w:p>
            <w:r>
              <w:t>41.8%</w:t>
            </w:r>
          </w:p>
        </w:tc>
        <w:tc>
          <w:tcPr>
            <w:tcW w:type="dxa" w:w="1930"/>
          </w:tcPr>
          <w:p>
            <w:r>
              <w:t>42.6%</w:t>
            </w:r>
          </w:p>
        </w:tc>
        <w:tc>
          <w:tcPr>
            <w:tcW w:type="dxa" w:w="1930"/>
          </w:tcPr>
          <w:p>
            <w:r>
              <w:t>+0.8pct</w:t>
            </w:r>
          </w:p>
        </w:tc>
        <w:tc>
          <w:tcPr>
            <w:tcW w:type="dxa" w:w="1930"/>
          </w:tcPr>
          <w:p>
            <w:r>
              <w:t>标准化交付比例提升</w:t>
            </w:r>
          </w:p>
        </w:tc>
      </w:tr>
      <w:tr>
        <w:tc>
          <w:tcPr>
            <w:tcW w:type="dxa" w:w="1930"/>
          </w:tcPr>
          <w:p>
            <w:r>
              <w:t>经营现金流</w:t>
            </w:r>
          </w:p>
        </w:tc>
        <w:tc>
          <w:tcPr>
            <w:tcW w:type="dxa" w:w="1930"/>
          </w:tcPr>
          <w:p>
            <w:r>
              <w:t>15.4</w:t>
            </w:r>
          </w:p>
        </w:tc>
        <w:tc>
          <w:tcPr>
            <w:tcW w:type="dxa" w:w="1930"/>
          </w:tcPr>
          <w:p>
            <w:r>
              <w:t>18.7</w:t>
            </w:r>
          </w:p>
        </w:tc>
        <w:tc>
          <w:tcPr>
            <w:tcW w:type="dxa" w:w="1930"/>
          </w:tcPr>
          <w:p>
            <w:r>
              <w:t>21.4%</w:t>
            </w:r>
          </w:p>
        </w:tc>
        <w:tc>
          <w:tcPr>
            <w:tcW w:type="dxa" w:w="1930"/>
          </w:tcPr>
          <w:p>
            <w:r>
              <w:t>续约客户回款改善</w:t>
            </w:r>
          </w:p>
        </w:tc>
      </w:tr>
      <w:tr>
        <w:tc>
          <w:tcPr>
            <w:tcW w:type="dxa" w:w="1930"/>
          </w:tcPr>
          <w:p>
            <w:r>
              <w:t>应收账款周转天数</w:t>
            </w:r>
          </w:p>
        </w:tc>
        <w:tc>
          <w:tcPr>
            <w:tcW w:type="dxa" w:w="1930"/>
          </w:tcPr>
          <w:p>
            <w:r>
              <w:t>69</w:t>
            </w:r>
          </w:p>
        </w:tc>
        <w:tc>
          <w:tcPr>
            <w:tcW w:type="dxa" w:w="1930"/>
          </w:tcPr>
          <w:p>
            <w:r>
              <w:t>76</w:t>
            </w:r>
          </w:p>
        </w:tc>
        <w:tc>
          <w:tcPr>
            <w:tcW w:type="dxa" w:w="1930"/>
          </w:tcPr>
          <w:p>
            <w:r>
              <w:t>+7天</w:t>
            </w:r>
          </w:p>
        </w:tc>
        <w:tc>
          <w:tcPr>
            <w:tcW w:type="dxa" w:w="1930"/>
          </w:tcPr>
          <w:p>
            <w:r>
              <w:t>大型政企项目验收延后</w:t>
            </w:r>
          </w:p>
        </w:tc>
      </w:tr>
    </w:tbl>
    <w:p>
      <w:r>
        <w:t>收入确认口径遵循合同履约义务完成进度。云订阅业务按服务期限分摊确认收入；行业解决方案按里程碑验收确认收入；运维服务按服务期间直线确认。若客户签署补充协议调整交付范围，财务BP需重新评估单项履约义务和交易价格分摊。</w:t>
      </w:r>
    </w:p>
    <w:p>
      <w:pPr>
        <w:pStyle w:val="Heading1"/>
      </w:pPr>
      <w:r>
        <w:t>三、分业务线分析</w:t>
      </w:r>
    </w:p>
    <w:p>
      <w:r>
        <w:t>云订阅业务收入43.2亿元，同比增长27.5%，毛利率68.1%。增长来自企业知识库、智能报表和权限审计模块的交叉销售。ARR续约率为91.4%，较上年提升2.1个百分点。客户成功团队认为，中大型客户续约风险主要来自预算审批延迟，而非产品使用频率下降。</w:t>
      </w:r>
    </w:p>
    <w:p>
      <w:r>
        <w:t>行业解决方案收入57.4亿元，同比增长7.9%，毛利率31.6%。金融、能源、制造三类客户贡献超过七成。该业务仍存在项目管理颗粒度不一、定制开发边界不清、验收材料返工等问题。2026年将建立项目交付红黄灯机制，并将延期验收纳入项目经理绩效。</w:t>
      </w:r>
    </w:p>
    <w:p>
      <w:r>
        <w:t>运维与专业服务收入28.0亿元，同比增长2.6%，毛利率25.9%。该业务增长放缓但现金流稳定，是客户关系维护的重要入口。公司计划将常见运维事项沉淀为标准工单库，减少高级工程师处理重复问题的时间。</w:t>
      </w:r>
    </w:p>
    <w:p>
      <w:pPr>
        <w:pStyle w:val="Heading1"/>
      </w:pPr>
      <w:r>
        <w:t>四、现金流与营运资本</w:t>
      </w:r>
    </w:p>
    <w:p>
      <w:r>
        <w:t>2025年销售商品、提供劳务收到的现金为134.4亿元，现金收入比104.5%。其中云订阅业务预收款增加明显，合同负债期末余额较年初增长16.8%。渠道客户回款周期仍显著长于直销客户，主要原因是渠道商需等待终端客户验收后再结算。</w:t>
      </w:r>
    </w:p>
    <w:p>
      <w:r>
        <w:t>应收账款余额为31.8亿元，其中账龄超过180天的项目占比17.3%。财务共享中心已将12个项目纳入专项催收清单，涉及客户主要为地方平台公司和大型制造集团。对超过合同约定付款日90天仍未回款的项目，需暂停新增定制开发需求。</w:t>
      </w:r>
    </w:p>
    <w:p>
      <w:r>
        <w:t>存货及合同履约成本合计9.6亿元，较上年末增长12.2%。增长主要来自两个大型国产化适配项目的硬件预采购。采购部需在新合同中明确硬件价格波动机制，避免项目毛利被供应链价格吞噬。</w:t>
      </w:r>
    </w:p>
    <w:p>
      <w:pPr>
        <w:pStyle w:val="Heading1"/>
      </w:pPr>
      <w:r>
        <w:t>五、风险提示与管理动作</w:t>
      </w:r>
    </w:p>
    <w:p>
      <w:pPr>
        <w:pStyle w:val="ListBullet"/>
      </w:pPr>
      <w:r>
        <w:t>政企客户预算审批节奏可能导致验收和回款延期，建议销售在合同签署前确认预算批复文件或内部立项编号。</w:t>
      </w:r>
    </w:p>
    <w:p>
      <w:pPr>
        <w:pStyle w:val="ListBullet"/>
      </w:pPr>
      <w:r>
        <w:t>定制开发需求若缺少变更单，容易造成收入确认争议，建议项目经理在每次范围变更后同步更新验收清单。</w:t>
      </w:r>
    </w:p>
    <w:p>
      <w:pPr>
        <w:pStyle w:val="ListBullet"/>
      </w:pPr>
      <w:r>
        <w:t>AI算力成本上涨可能压缩云订阅毛利，建议产品定价引入调用量阶梯和超额用量收费。</w:t>
      </w:r>
    </w:p>
    <w:p>
      <w:pPr>
        <w:pStyle w:val="ListBullet"/>
      </w:pPr>
      <w:r>
        <w:t>渠道商账期拉长可能形成隐性融资，建议对回款低于承诺值的渠道商下调信用额度。</w:t>
      </w:r>
    </w:p>
    <w:p>
      <w:r>
        <w:t>行动项包括：一季度完成项目毛利复盘；二季度上线合同条款检查清单；三季度完成客户成功健康度模型；四季度将回款达成率纳入业务线奖金池。</w:t>
      </w:r>
    </w:p>
    <w:p>
      <w:pPr>
        <w:pStyle w:val="Heading1"/>
      </w:pPr>
      <w:r>
        <w:t>六、预算与费用控制</w:t>
      </w:r>
    </w:p>
    <w:p>
      <w:r>
        <w:t>2025年销售费用率为13.6%，较上年下降0.4个百分点，主要受线上获客占比提升和渠道返利结构优化影响。管理费用率为8.1%，基本保持稳定。研发费用率为14.2%，其中大模型应用、数据治理平台和国产化适配工具链为主要投入方向。</w:t>
      </w:r>
    </w:p>
    <w:p>
      <w:r>
        <w:t>2026年预算管理将采用“基线预算+专项预算”模式。基线预算覆盖人员、办公、云资源、日常营销和客户成功成本；专项预算覆盖重点行业解决方案、AI算力资源池、海外合规认证和关键客户联合创新项目。所有专项预算需绑定明确业务指标和退出机制。</w:t>
      </w:r>
    </w:p>
    <w:p>
      <w:pPr>
        <w:pStyle w:val="Heading1"/>
      </w:pPr>
      <w:r>
        <w:t>七、数据口径与报表责任</w:t>
      </w:r>
    </w:p>
    <w:p>
      <w:r>
        <w:t>收入、毛利、费用、现金流等指标由财务共享中心出具，业务线不得自行调整口径。若业务复盘需要使用管理口径，应在报表页脚注明差异来源，例如剔除一次性硬件、调整内部结算或重分类渠道费用。</w:t>
      </w:r>
    </w:p>
    <w:p>
      <w:r>
        <w:t>经营分析报告由财务管理部牵头，销售运营、项目管理办公室、客户成功中心和采购部共同提供底稿。所有底稿需保留合同编号、项目编号、客户名称、数据来源系统和导出时间，便于审计追溯。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