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0B2545"/>
          <w:sz w:val="36"/>
        </w:rPr>
        <w:t>反洗钱客户尽职调查操作规程</w:t>
      </w:r>
    </w:p>
    <w:p>
      <w:pPr>
        <w:jc w:val="center"/>
      </w:pPr>
      <w:r>
        <w:rPr>
          <w:rFonts w:ascii="Microsoft YaHei" w:hAnsi="Microsoft YaHei"/>
          <w:color w:val="555555"/>
          <w:sz w:val="20"/>
        </w:rPr>
        <w:t>合规部 | AML-DD-2026.01 | 企业级模拟制度</w:t>
      </w:r>
    </w:p>
    <w:p>
      <w:pPr>
        <w:pStyle w:val="Heading1"/>
      </w:pPr>
      <w:r>
        <w:t>一、目的与适用范围</w:t>
      </w:r>
    </w:p>
    <w:p>
      <w:r>
        <w:t>本规程用于规范客户准入、持续服务、交易监测和客户关系终止阶段的客户身份识别、受益所有人识别、风险评级、资料留存和异常事项上报。适用对象包括客户经理、运营审核人员、合规专员、产品经理以及参与客户信息处理的外包服务人员。</w:t>
      </w:r>
    </w:p>
    <w:p>
      <w:r>
        <w:t>本规程覆盖法人客户、自然人客户、非法人组织、境外机构客户和代理关系客户。若客户涉及复杂股权结构、跨境交易、现金密集行业、政治公众人物、信托安排或高风险国家地区，应执行强化尽职调查。</w:t>
      </w:r>
    </w:p>
    <w:p>
      <w:pPr>
        <w:pStyle w:val="Heading1"/>
      </w:pPr>
      <w:r>
        <w:t>二、客户身份识别要求</w:t>
      </w:r>
    </w:p>
    <w:p>
      <w:r>
        <w:t>法人客户应核验营业执照、法定代表人身份证明、授权委托书、经办人身份证明、公司章程或股权结构证明。对存在多层股权结构的客户，应穿透识别至最终自然人受益所有人；若无法识别自然人，应记录无法识别原因并取得高级管理层批准。</w:t>
      </w:r>
    </w:p>
    <w:p>
      <w:r>
        <w:t>自然人客户应核验有效身份证件、联系方式、职业、收入来源和交易目的。对非面对面开户、证件即将到期、联系方式频繁变更或交易目的明显异常的客户，应提高审核层级。</w:t>
      </w:r>
    </w:p>
    <w:p>
      <w:pPr>
        <w:pStyle w:val="Heading1"/>
      </w:pPr>
      <w:r>
        <w:t>三、风险等级与持续尽调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风险等级</w:t>
            </w:r>
          </w:p>
        </w:tc>
        <w:tc>
          <w:tcPr>
            <w:tcW w:type="dxa" w:w="2412"/>
          </w:tcPr>
          <w:p>
            <w:r>
              <w:t>适用情形</w:t>
            </w:r>
          </w:p>
        </w:tc>
        <w:tc>
          <w:tcPr>
            <w:tcW w:type="dxa" w:w="2412"/>
          </w:tcPr>
          <w:p>
            <w:r>
              <w:t>复核频率</w:t>
            </w:r>
          </w:p>
        </w:tc>
        <w:tc>
          <w:tcPr>
            <w:tcW w:type="dxa" w:w="2412"/>
          </w:tcPr>
          <w:p>
            <w:r>
              <w:t>审批要求</w:t>
            </w:r>
          </w:p>
        </w:tc>
      </w:tr>
      <w:tr>
        <w:tc>
          <w:tcPr>
            <w:tcW w:type="dxa" w:w="2412"/>
          </w:tcPr>
          <w:p>
            <w:r>
              <w:t>低风险</w:t>
            </w:r>
          </w:p>
        </w:tc>
        <w:tc>
          <w:tcPr>
            <w:tcW w:type="dxa" w:w="2412"/>
          </w:tcPr>
          <w:p>
            <w:r>
              <w:t>信息完整、交易目的明确、未命中负面清单</w:t>
            </w:r>
          </w:p>
        </w:tc>
        <w:tc>
          <w:tcPr>
            <w:tcW w:type="dxa" w:w="2412"/>
          </w:tcPr>
          <w:p>
            <w:r>
              <w:t>每三年</w:t>
            </w:r>
          </w:p>
        </w:tc>
        <w:tc>
          <w:tcPr>
            <w:tcW w:type="dxa" w:w="2412"/>
          </w:tcPr>
          <w:p>
            <w:r>
              <w:t>系统自动复核</w:t>
            </w:r>
          </w:p>
        </w:tc>
      </w:tr>
      <w:tr>
        <w:tc>
          <w:tcPr>
            <w:tcW w:type="dxa" w:w="2412"/>
          </w:tcPr>
          <w:p>
            <w:r>
              <w:t>中风险</w:t>
            </w:r>
          </w:p>
        </w:tc>
        <w:tc>
          <w:tcPr>
            <w:tcW w:type="dxa" w:w="2412"/>
          </w:tcPr>
          <w:p>
            <w:r>
              <w:t>行业风险较高或交易结构较复杂</w:t>
            </w:r>
          </w:p>
        </w:tc>
        <w:tc>
          <w:tcPr>
            <w:tcW w:type="dxa" w:w="2412"/>
          </w:tcPr>
          <w:p>
            <w:r>
              <w:t>每年</w:t>
            </w:r>
          </w:p>
        </w:tc>
        <w:tc>
          <w:tcPr>
            <w:tcW w:type="dxa" w:w="2412"/>
          </w:tcPr>
          <w:p>
            <w:r>
              <w:t>合规专员复核</w:t>
            </w:r>
          </w:p>
        </w:tc>
      </w:tr>
      <w:tr>
        <w:tc>
          <w:tcPr>
            <w:tcW w:type="dxa" w:w="2412"/>
          </w:tcPr>
          <w:p>
            <w:r>
              <w:t>高风险</w:t>
            </w:r>
          </w:p>
        </w:tc>
        <w:tc>
          <w:tcPr>
            <w:tcW w:type="dxa" w:w="2412"/>
          </w:tcPr>
          <w:p>
            <w:r>
              <w:t>高风险地区、PEP、复杂受益结构、负面信息</w:t>
            </w:r>
          </w:p>
        </w:tc>
        <w:tc>
          <w:tcPr>
            <w:tcW w:type="dxa" w:w="2412"/>
          </w:tcPr>
          <w:p>
            <w:r>
              <w:t>每半年</w:t>
            </w:r>
          </w:p>
        </w:tc>
        <w:tc>
          <w:tcPr>
            <w:tcW w:type="dxa" w:w="2412"/>
          </w:tcPr>
          <w:p>
            <w:r>
              <w:t>高级管理层批准</w:t>
            </w:r>
          </w:p>
        </w:tc>
      </w:tr>
    </w:tbl>
    <w:p>
      <w:r>
        <w:t>持续尽调应关注客户交易行为是否与其身份、业务规模和资金来源相匹配。若客户短期内交易规模突然放大、频繁发生关联方资金往来、交易对手集中在高风险地区，系统应自动生成复核任务。</w:t>
      </w:r>
    </w:p>
    <w:p>
      <w:pPr>
        <w:pStyle w:val="Heading1"/>
      </w:pPr>
      <w:r>
        <w:t>四、异常交易上报</w:t>
      </w:r>
    </w:p>
    <w:p>
      <w:r>
        <w:t>一线人员发现疑似洗钱、恐怖融资、逃税、欺诈或制裁规避迹象时，应在1个工作日内通过合规系统提交异常事项。合规部应在5个工作日内完成初步判断，并根据需要补充客户访谈、交易凭证、资金用途说明和外部名单筛查结果。</w:t>
      </w:r>
    </w:p>
    <w:p>
      <w:r>
        <w:t>典型异常包括：客户拒绝提供受益所有人信息；交易金额与经营规模明显不匹配；多个无关联客户使用相同联系人或设备；资金短时间内多层转移后汇出；客户主动要求规避交易监测阈值。</w:t>
      </w:r>
    </w:p>
    <w:p>
      <w:pPr>
        <w:pStyle w:val="Heading1"/>
      </w:pPr>
      <w:r>
        <w:t>五、资料留存与审计</w:t>
      </w:r>
    </w:p>
    <w:p>
      <w:r>
        <w:t>客户身份资料、尽调工作底稿、交易记录、风险评级结果和异常事项处理记录，应自业务关系结束或交易完成之日起至少保存五年。电子资料应满足可检索、可还原、可追溯要求，关键字段包括客户编号、证件号码、受益所有人、风险等级、复核日期和操作人员。</w:t>
      </w:r>
    </w:p>
    <w:p>
      <w:r>
        <w:t>内部审计每年至少抽查一次客户尽职调查执行情况。抽查样本应覆盖不同风险等级、不同业务线和不同渠道来源。审计发现的问题应形成整改清单，并由责任部门在规定期限内反馈整改证据。</w:t>
      </w:r>
    </w:p>
    <w:p>
      <w:pPr>
        <w:pStyle w:val="Heading1"/>
      </w:pPr>
      <w:r>
        <w:t>六、部门职责</w:t>
      </w:r>
    </w:p>
    <w:p>
      <w:r>
        <w:t>业务部门负责收集客户身份资料、了解交易目的和资金来源，并对客户提供材料的完整性负责。运营部门负责形式审核、证件有效性校验和系统录入。合规部门负责风险评级规则、强化尽调复核、异常交易分析和监管报送。</w:t>
      </w:r>
    </w:p>
    <w:p>
      <w:r>
        <w:t>信息技术部门负责名单筛查、交易监测、日志留存和权限控制系统的稳定运行。内部审计部门负责定期评价制度执行效果，并对高风险客户样本进行穿透检查。</w:t>
      </w:r>
    </w:p>
    <w:p>
      <w:pPr>
        <w:pStyle w:val="Heading1"/>
      </w:pPr>
      <w:r>
        <w:t>七、系统控制要求</w:t>
      </w:r>
    </w:p>
    <w:p>
      <w:r>
        <w:t>客户信息系统应设置必填字段、证件到期提醒、受益所有人穿透层级、风险等级变更记录和复核任务。任何人工调整客户风险等级的操作都应记录调整原因、审批人、审批时间和附件材料。</w:t>
      </w:r>
    </w:p>
    <w:p>
      <w:r>
        <w:t>名单筛查系统应覆盖制裁名单、政治公众人物名单、负面新闻、司法风险和内部黑名单。命中结果不得由客户经理单独关闭，必须经过合规人员复核。</w:t>
      </w:r>
    </w:p>
    <w:p>
      <w:pPr>
        <w:pStyle w:val="Heading1"/>
      </w:pPr>
      <w:r>
        <w:t>八、质量检查与问责</w:t>
      </w:r>
    </w:p>
    <w:p>
      <w:r>
        <w:t>合规部每月对新增高风险客户、风险等级下调客户和资料补正超过两次的客户进行抽样复核。复核内容包括客户身份资料是否完整、受益所有人识别是否穿透、交易目的是否合理、风险等级调整是否有审批依据。</w:t>
      </w:r>
    </w:p>
    <w:p>
      <w:r>
        <w:t>对因尽调缺失导致监管处罚、重大投诉或可疑交易漏报的事项，应启动责任认定。责任认定不以是否形成实际损失为唯一标准，而应关注制度要求是否明确、人员是否履职、系统控制是否失效以及管理层是否及时纠偏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