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/>
          <w:b/>
          <w:color w:val="0B2545"/>
          <w:sz w:val="36"/>
        </w:rPr>
        <w:t>软件订阅服务合同</w:t>
      </w:r>
    </w:p>
    <w:p>
      <w:pPr>
        <w:jc w:val="center"/>
      </w:pPr>
      <w:r>
        <w:rPr>
          <w:rFonts w:ascii="Microsoft YaHei" w:hAnsi="Microsoft YaHei"/>
          <w:color w:val="555555"/>
          <w:sz w:val="20"/>
        </w:rPr>
        <w:t>合同编号 SAAS-STD-2026-001 | 企业级模拟模板</w:t>
      </w:r>
    </w:p>
    <w:p>
      <w:pPr>
        <w:pStyle w:val="Heading1"/>
      </w:pPr>
      <w:r>
        <w:t>第一条 服务内容</w:t>
      </w:r>
    </w:p>
    <w:p>
      <w:r>
        <w:t>服务提供方根据订单向客户提供企业级数据分析平台账号、功能模块、技术支持、版本升级和必要的实施服务。具体服务范围以订单、服务说明书、实施计划和双方确认的变更单为准。</w:t>
      </w:r>
    </w:p>
    <w:p>
      <w:r>
        <w:t>如客户要求新增定制开发、第三方系统集成或专项数据迁移，应另行签署补充协议。未在订单中列明的功能展示、销售演示或口头承诺，不构成服务提供方的交付义务。</w:t>
      </w:r>
    </w:p>
    <w:p>
      <w:pPr>
        <w:pStyle w:val="Heading1"/>
      </w:pPr>
      <w:r>
        <w:t>第二条 费用与付款</w:t>
      </w:r>
    </w:p>
    <w:p>
      <w:r>
        <w:t>客户应按订单约定支付订阅费、实施服务费和增购模块费用。除双方另有书面约定外，年度订阅费应在服务开通前一次性支付，实施服务费按项目里程碑支付。</w:t>
      </w:r>
    </w:p>
    <w:p>
      <w:r>
        <w:t>如客户逾期付款超过15日，服务提供方有权暂停非核心功能；逾期超过30日且经书面催告仍未支付的，服务提供方有权解除合同并要求客户承担违约责任。</w:t>
      </w:r>
    </w:p>
    <w:p>
      <w:pPr>
        <w:pStyle w:val="Heading1"/>
      </w:pPr>
      <w:r>
        <w:t>第三条 数据与保密</w:t>
      </w:r>
    </w:p>
    <w:p>
      <w:r>
        <w:t>客户数据所有权归客户所有。服务提供方仅为履行合同目的处理客户数据，并应采取访问控制、日志审计、加密传输、备份恢复和最小权限管理措施。</w:t>
      </w:r>
    </w:p>
    <w:p>
      <w:r>
        <w:t>双方对商业秘密、技术资料、客户名单、价格政策、系统架构和未公开经营信息负有保密义务。保密期限为合同终止后五年；涉及个人信息和重要数据的，应按法律法规要求长期保护。</w:t>
      </w:r>
    </w:p>
    <w:p>
      <w:pPr>
        <w:pStyle w:val="Heading1"/>
      </w:pPr>
      <w:r>
        <w:t>第四条 服务水平</w:t>
      </w:r>
    </w:p>
    <w:p>
      <w:r>
        <w:t>除计划维护、不可抗力、客户原因和第三方网络故障外，平台月度可用性不低于99.5%。若服务可用性未达标，客户可按服务说明书申请服务补偿，但不得直接抵扣无争议应付款项。</w:t>
      </w:r>
    </w:p>
    <w:p>
      <w:pPr>
        <w:pStyle w:val="Heading1"/>
      </w:pPr>
      <w:r>
        <w:t>第五条 责任限制</w:t>
      </w:r>
    </w:p>
    <w:p>
      <w:r>
        <w:t>除故意或重大过失、侵犯知识产权、违反保密义务、数据泄露责任外，任一方在本合同项下累计赔偿责任不超过客户在争议发生前12个月实际支付的服务费用总额。</w:t>
      </w:r>
    </w:p>
    <w:p>
      <w:pPr>
        <w:pStyle w:val="Heading1"/>
      </w:pPr>
      <w:r>
        <w:t>第六条 安全事件处理</w:t>
      </w:r>
    </w:p>
    <w:p>
      <w:r>
        <w:t>任一方发现可能影响客户数据安全、平台可用性或账户权限的安全事件，应在24小时内向对方发出初步通知，并在72小时内提交书面说明。书面说明应包括事件时间、影响范围、已采取措施、后续计划和联系人。</w:t>
      </w:r>
    </w:p>
    <w:p>
      <w:r>
        <w:t>若安全事件由服务提供方原因导致，服务提供方应承担合理补救义务，包括漏洞修复、日志分析、临时防护、客户通知支持和监管沟通协助。客户不得在事实未核实前公开发布可能误导第三方的信息。</w:t>
      </w:r>
    </w:p>
    <w:p>
      <w:pPr>
        <w:pStyle w:val="Heading1"/>
      </w:pPr>
      <w:r>
        <w:t>第七条 审计与合规配合</w:t>
      </w:r>
    </w:p>
    <w:p>
      <w:r>
        <w:t>在不影响平台安全和其他客户权益的前提下，客户可每年一次要求服务提供方提供安全合规材料，例如渗透测试摘要、等保备案说明、数据备份策略和访问权限管理说明。</w:t>
      </w:r>
    </w:p>
    <w:p>
      <w:r>
        <w:t>如客户所属行业监管机构要求提供与本服务相关的说明材料，双方应合理配合。超出常规支持范围的专项审计、现场检查或定制报告，双方可另行协商费用和时间安排。</w:t>
      </w:r>
    </w:p>
    <w:p>
      <w:pPr>
        <w:pStyle w:val="Heading1"/>
      </w:pPr>
      <w:r>
        <w:t>第八条 变更管理</w:t>
      </w:r>
    </w:p>
    <w:p>
      <w:r>
        <w:t>客户提出新增功能、调整接口、变更部署方式或扩大用户范围的，应提交书面变更申请。服务提供方评估变更对费用、工期、数据安全、服务水平和后续维护的影响后，双方签署变更单。未签署变更单的需求不纳入交付范围。</w:t>
      </w:r>
    </w:p>
    <w:p>
      <w:r>
        <w:t>如因法律法规、监管要求、第三方基础设施或安全风险需要调整服务，服务提供方应提前通知客户，并在合理范围内降低对客户业务连续性的影响。客户不得拒绝与安全、合规或系统稳定性相关的必要升级。</w:t>
      </w:r>
    </w:p>
    <w:p>
      <w:pPr>
        <w:pStyle w:val="Heading1"/>
      </w:pPr>
      <w:r>
        <w:t>第九条 合同终止与数据处理</w:t>
      </w:r>
    </w:p>
    <w:p>
      <w:r>
        <w:t>合同终止后，客户可在30日内申请导出客户数据。服务提供方应在客户完成费用结清后提供通用格式的数据导出文件。客户确认导出完成后，服务提供方按数据删除策略清理生产环境数据，备份数据随备份周期自动覆盖。</w:t>
      </w:r>
    </w:p>
    <w:p>
      <w:r>
        <w:t>若合同因客户重大违约而解除，服务提供方仍应在法律允许范围内提供必要的数据导出协助，但有权要求客户先支付已发生费用和合理服务成本。</w:t>
      </w:r>
    </w:p>
    <w:sectPr w:rsidR="00FC693F" w:rsidRPr="0006063C" w:rsidSect="00034616"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20"/>
    </w:pPr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0B254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1F4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/>
      <w:b/>
      <w:bCs/>
      <w:color w:val="2E74B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