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B2545"/>
          <w:sz w:val="36"/>
        </w:rPr>
        <w:t>小微企业授信尽调报告</w:t>
      </w:r>
    </w:p>
    <w:p>
      <w:pPr>
        <w:jc w:val="center"/>
      </w:pPr>
      <w:r>
        <w:rPr>
          <w:rFonts w:ascii="Microsoft YaHei" w:hAnsi="Microsoft YaHei"/>
          <w:color w:val="555555"/>
          <w:sz w:val="20"/>
        </w:rPr>
        <w:t>客户：华东智造设备有限公司 | 申请额度：800万元 | 企业级模拟文档</w:t>
      </w:r>
    </w:p>
    <w:p>
      <w:pPr>
        <w:pStyle w:val="Heading1"/>
      </w:pPr>
      <w:r>
        <w:t>一、客户基本情况</w:t>
      </w:r>
    </w:p>
    <w:p>
      <w:r>
        <w:t>华东智造设备有限公司成立于2017年，注册资本2,000万元，主营自动化夹具、非标检测设备和小型产线改造服务。客户位于宁波高新区，现有员工132人，其中研发及工程人员46人。公司实控人从业超过15年，具备汽车零部件和光伏设备客户资源。</w:t>
      </w:r>
    </w:p>
    <w:p>
      <w:r>
        <w:t>客户近三年销售收入持续增长，但客户集中度偏高。2025年前五大客户销售占比约61%，其中A客户和B客户合计占比39%。客户解释称，非标设备项目通常围绕核心客户长期迭代，短期集中度偏高符合行业特征。尽调人员已抽查主要销售合同、发票、物流签收和回款记录，交易链条基本匹配。</w:t>
      </w:r>
    </w:p>
    <w:p>
      <w:pPr>
        <w:pStyle w:val="Heading1"/>
      </w:pPr>
      <w:r>
        <w:t>二、财务与流水核验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项目</w:t>
            </w:r>
          </w:p>
        </w:tc>
        <w:tc>
          <w:tcPr>
            <w:tcW w:type="dxa" w:w="1930"/>
          </w:tcPr>
          <w:p>
            <w:r>
              <w:t>2023年</w:t>
            </w:r>
          </w:p>
        </w:tc>
        <w:tc>
          <w:tcPr>
            <w:tcW w:type="dxa" w:w="1930"/>
          </w:tcPr>
          <w:p>
            <w:r>
              <w:t>2024年</w:t>
            </w:r>
          </w:p>
        </w:tc>
        <w:tc>
          <w:tcPr>
            <w:tcW w:type="dxa" w:w="1930"/>
          </w:tcPr>
          <w:p>
            <w:r>
              <w:t>2025年</w:t>
            </w:r>
          </w:p>
        </w:tc>
        <w:tc>
          <w:tcPr>
            <w:tcW w:type="dxa" w:w="1930"/>
          </w:tcPr>
          <w:p>
            <w:r>
              <w:t>说明</w:t>
            </w:r>
          </w:p>
        </w:tc>
      </w:tr>
      <w:tr>
        <w:tc>
          <w:tcPr>
            <w:tcW w:type="dxa" w:w="1930"/>
          </w:tcPr>
          <w:p>
            <w:r>
              <w:t>开票销售额</w:t>
            </w:r>
          </w:p>
        </w:tc>
        <w:tc>
          <w:tcPr>
            <w:tcW w:type="dxa" w:w="1930"/>
          </w:tcPr>
          <w:p>
            <w:r>
              <w:t>3,180万元</w:t>
            </w:r>
          </w:p>
        </w:tc>
        <w:tc>
          <w:tcPr>
            <w:tcW w:type="dxa" w:w="1930"/>
          </w:tcPr>
          <w:p>
            <w:r>
              <w:t>4,098万元</w:t>
            </w:r>
          </w:p>
        </w:tc>
        <w:tc>
          <w:tcPr>
            <w:tcW w:type="dxa" w:w="1930"/>
          </w:tcPr>
          <w:p>
            <w:r>
              <w:t>4,860万元</w:t>
            </w:r>
          </w:p>
        </w:tc>
        <w:tc>
          <w:tcPr>
            <w:tcW w:type="dxa" w:w="1930"/>
          </w:tcPr>
          <w:p>
            <w:r>
              <w:t>连续增长，2025年增长18.6%</w:t>
            </w:r>
          </w:p>
        </w:tc>
      </w:tr>
      <w:tr>
        <w:tc>
          <w:tcPr>
            <w:tcW w:type="dxa" w:w="1930"/>
          </w:tcPr>
          <w:p>
            <w:r>
              <w:t>纳税申报收入</w:t>
            </w:r>
          </w:p>
        </w:tc>
        <w:tc>
          <w:tcPr>
            <w:tcW w:type="dxa" w:w="1930"/>
          </w:tcPr>
          <w:p>
            <w:r>
              <w:t>3,126万元</w:t>
            </w:r>
          </w:p>
        </w:tc>
        <w:tc>
          <w:tcPr>
            <w:tcW w:type="dxa" w:w="1930"/>
          </w:tcPr>
          <w:p>
            <w:r>
              <w:t>4,022万元</w:t>
            </w:r>
          </w:p>
        </w:tc>
        <w:tc>
          <w:tcPr>
            <w:tcW w:type="dxa" w:w="1930"/>
          </w:tcPr>
          <w:p>
            <w:r>
              <w:t>4,792万元</w:t>
            </w:r>
          </w:p>
        </w:tc>
        <w:tc>
          <w:tcPr>
            <w:tcW w:type="dxa" w:w="1930"/>
          </w:tcPr>
          <w:p>
            <w:r>
              <w:t>与开票差异在合理范围</w:t>
            </w:r>
          </w:p>
        </w:tc>
      </w:tr>
      <w:tr>
        <w:tc>
          <w:tcPr>
            <w:tcW w:type="dxa" w:w="1930"/>
          </w:tcPr>
          <w:p>
            <w:r>
              <w:t>银行结算流水入账</w:t>
            </w:r>
          </w:p>
        </w:tc>
        <w:tc>
          <w:tcPr>
            <w:tcW w:type="dxa" w:w="1930"/>
          </w:tcPr>
          <w:p>
            <w:r>
              <w:t>2,940万元</w:t>
            </w:r>
          </w:p>
        </w:tc>
        <w:tc>
          <w:tcPr>
            <w:tcW w:type="dxa" w:w="1930"/>
          </w:tcPr>
          <w:p>
            <w:r>
              <w:t>3,856万元</w:t>
            </w:r>
          </w:p>
        </w:tc>
        <w:tc>
          <w:tcPr>
            <w:tcW w:type="dxa" w:w="1930"/>
          </w:tcPr>
          <w:p>
            <w:r>
              <w:t>4,516万元</w:t>
            </w:r>
          </w:p>
        </w:tc>
        <w:tc>
          <w:tcPr>
            <w:tcW w:type="dxa" w:w="1930"/>
          </w:tcPr>
          <w:p>
            <w:r>
              <w:t>部分客户使用票据结算</w:t>
            </w:r>
          </w:p>
        </w:tc>
      </w:tr>
      <w:tr>
        <w:tc>
          <w:tcPr>
            <w:tcW w:type="dxa" w:w="1930"/>
          </w:tcPr>
          <w:p>
            <w:r>
              <w:t>毛利率</w:t>
            </w:r>
          </w:p>
        </w:tc>
        <w:tc>
          <w:tcPr>
            <w:tcW w:type="dxa" w:w="1930"/>
          </w:tcPr>
          <w:p>
            <w:r>
              <w:t>26.1%</w:t>
            </w:r>
          </w:p>
        </w:tc>
        <w:tc>
          <w:tcPr>
            <w:tcW w:type="dxa" w:w="1930"/>
          </w:tcPr>
          <w:p>
            <w:r>
              <w:t>26.7%</w:t>
            </w:r>
          </w:p>
        </w:tc>
        <w:tc>
          <w:tcPr>
            <w:tcW w:type="dxa" w:w="1930"/>
          </w:tcPr>
          <w:p>
            <w:r>
              <w:t>24.8%</w:t>
            </w:r>
          </w:p>
        </w:tc>
        <w:tc>
          <w:tcPr>
            <w:tcW w:type="dxa" w:w="1930"/>
          </w:tcPr>
          <w:p>
            <w:r>
              <w:t>新客户首批订单报价偏低</w:t>
            </w:r>
          </w:p>
        </w:tc>
      </w:tr>
    </w:tbl>
    <w:p>
      <w:r>
        <w:t>流水核验显示，客户主要回款账户与销售合同约定账户一致。异常项包括：2025年11月存在两笔合计168万元回款由第三方供应链公司支付，客户解释为终端客户委托付款；2025年12月存在一笔80万元资金转入关联企业，客户解释为临时采购垫款。建议贷后检查重点核实关联资金往来用途。</w:t>
      </w:r>
    </w:p>
    <w:p>
      <w:pPr>
        <w:pStyle w:val="Heading1"/>
      </w:pPr>
      <w:r>
        <w:t>三、授信用途与还款来源</w:t>
      </w:r>
    </w:p>
    <w:p>
      <w:r>
        <w:t>本次申请800万元流动资金循环额度，主要用于采购伺服电机、传感器、工业相机和标准铝型材。额度期限12个月，单笔提款期限不超过6个月。还款来源为销售回款和存量订单验收款。</w:t>
      </w:r>
    </w:p>
    <w:p>
      <w:r>
        <w:t>客户当前在手订单约1,960万元，其中已完成设计评审的订单1,120万元，预计在未来4个月内交付。若A客户二期项目验收延迟超过60天，客户现金流安全边际将明显下降。因此建议设置回款归集要求，并将A客户项目验收作为贷后重点跟踪事项。</w:t>
      </w:r>
    </w:p>
    <w:p>
      <w:pPr>
        <w:pStyle w:val="Heading1"/>
      </w:pPr>
      <w:r>
        <w:t>四、担保与风险缓释</w:t>
      </w:r>
    </w:p>
    <w:p>
      <w:r>
        <w:t>拟采用机器设备抵押、实控人及配偶连带责任保证，并追加主要回款账户监管。设备评估价值约1,050万元，按审慎折扣后可覆盖部分风险敞口。由于设备专业性较强，处置流动性一般，不宜作为唯一缓释手段。</w:t>
      </w:r>
    </w:p>
    <w:p>
      <w:r>
        <w:t>建议提款前落实设备权属核验、发票核验、现场盘点和抵押登记。提款后客户应承诺月均归集流水不低于300万元；若连续两个月低于承诺值的70%，系统自动触发黄色预警并暂停新增提款。</w:t>
      </w:r>
    </w:p>
    <w:p>
      <w:pPr>
        <w:pStyle w:val="Heading1"/>
      </w:pPr>
      <w:r>
        <w:t>五、审批结论</w:t>
      </w:r>
    </w:p>
    <w:p>
      <w:r>
        <w:t>综合客户经营稳定性、现金流质量、信用记录和担保缓释情况，建议给予流动资金循环额度800万元，期限12个月，利率按小微制造业政策定价执行。审批条件包括：完成设备抵押登记；实控人及配偶签署保证合同；开立回款归集账户；按月提交主要订单执行进度。</w:t>
      </w:r>
    </w:p>
    <w:p>
      <w:r>
        <w:t>不建议增加信用方式敞口，不建议将额度用于归还股东借款、购买理财产品、证券投资或向关联方拆借。若发现贷款资金流入非经营用途，应立即启动风险排查和额度冻结流程。</w:t>
      </w:r>
    </w:p>
    <w:p>
      <w:pPr>
        <w:pStyle w:val="Heading1"/>
      </w:pPr>
      <w:r>
        <w:t>六、贷后管理方案</w:t>
      </w:r>
    </w:p>
    <w:p>
      <w:r>
        <w:t>客户经理应在放款后30日内完成首次贷后检查，并重点核验贷款资金是否用于合同约定的原材料采购、设备配件采购和生产周转。首次检查需取得提款后银行流水、主要采购发票、入库记录和对应销售订单。</w:t>
      </w:r>
    </w:p>
    <w:p>
      <w:r>
        <w:t>贷后期间按月跟踪A客户二期项目验收进度、B客户回款承诺、主要供应商账期变化和设备抵押物状态。若客户新增大额关联方往来或经营场所搬迁，应发起专项检查。</w:t>
      </w:r>
    </w:p>
    <w:p>
      <w:pPr>
        <w:pStyle w:val="Heading1"/>
      </w:pPr>
      <w:r>
        <w:t>七、审批条件清单</w:t>
      </w:r>
    </w:p>
    <w:p>
      <w:pPr>
        <w:pStyle w:val="ListBullet"/>
      </w:pPr>
      <w:r>
        <w:t>放款前完成设备权属核验、评估报告复核和抵押登记。</w:t>
      </w:r>
    </w:p>
    <w:p>
      <w:pPr>
        <w:pStyle w:val="ListBullet"/>
      </w:pPr>
      <w:r>
        <w:t>实控人及配偶签署连带责任保证合同，并完成面签影像留存。</w:t>
      </w:r>
    </w:p>
    <w:p>
      <w:pPr>
        <w:pStyle w:val="ListBullet"/>
      </w:pPr>
      <w:r>
        <w:t>客户开立回款归集账户，承诺月均归集流水不低于300万元。</w:t>
      </w:r>
    </w:p>
    <w:p>
      <w:pPr>
        <w:pStyle w:val="ListBullet"/>
      </w:pPr>
      <w:r>
        <w:t>单笔提款需提供采购合同、订单或备货计划，贷款资金不得转入关联企业或个人账户。</w:t>
      </w:r>
    </w:p>
    <w:p>
      <w:pPr>
        <w:pStyle w:val="ListBullet"/>
      </w:pPr>
      <w:r>
        <w:t>若连续两个月归集流水低于承诺值70%，暂停新增提款并提交风险复核。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