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华东智造集团 2026 年半年度授信风险监测报告</w:t>
      </w:r>
    </w:p>
    <w:p>
      <w:r>
        <w:t>报告日期：2026-06-30    资料库：企业授信与合规审查    文档编号：FR-CR-2026-H1-017</w:t>
      </w:r>
    </w:p>
    <w:p>
      <w:pPr>
        <w:pStyle w:val="Heading1"/>
      </w:pPr>
      <w:r>
        <w:t>一、执行摘要</w:t>
      </w:r>
    </w:p>
    <w:p>
      <w:r>
        <w:t>华东智造集团主营工业自动化设备、精密零部件和售后维保服务。2026 年上半年，公司订单规模保持增长，但下游新能源客户账期拉长，应收账款周转效率下降。本报告用于授信复核、贷后监测和风险预警，重点关注现金流覆盖能力、客户集中度、短债偿付弹性和存货跌价风险。</w:t>
      </w:r>
    </w:p>
    <w:p>
      <w:pPr>
        <w:pStyle w:val="Heading1"/>
      </w:pPr>
      <w:r>
        <w:t>二、经营与财务指标</w:t>
      </w:r>
    </w:p>
    <w:p>
      <w:r>
        <w:t>经营指标显示，公司收入端仍具备韧性，但经营现金流同比下降明显。授信审查应结合核心客户回款计划、在手订单质量和短期债务到期结构进行综合判断。</w:t>
      </w:r>
    </w:p>
    <w:tbl>
      <w:tblPr>
        <w:tblW w:w="906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500"/>
        <w:gridCol w:w="1500"/>
        <w:gridCol w:w="1500"/>
        <w:gridCol w:w="2760"/>
      </w:tblGrid>
      <w:tr>
        <w:trPr>
          <w:tblHeader/>
        </w:trPr>
        <w:tc>
          <w:tcPr>
            <w:tcW w:w="1800" w:type="dxa"/>
            <w:shd w:fill="E8F0F6"/>
          </w:tcPr>
          <w:p>
            <w:r>
              <w:rPr>
                <w:b/>
              </w:rPr>
              <w:t>指标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2025H1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2026H1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同比变化</w:t>
            </w:r>
          </w:p>
        </w:tc>
        <w:tc>
          <w:tcPr>
            <w:tcW w:w="2760" w:type="dxa"/>
            <w:shd w:fill="E8F0F6"/>
          </w:tcPr>
          <w:p>
            <w:r>
              <w:rPr>
                <w:b/>
              </w:rPr>
              <w:t>风险提示</w:t>
            </w:r>
          </w:p>
        </w:tc>
      </w:tr>
      <w:tr>
        <w:tc>
          <w:tcPr>
            <w:tcW w:w="1800" w:type="dxa"/>
          </w:tcPr>
          <w:p>
            <w:r>
              <w:t>营业收入</w:t>
            </w:r>
          </w:p>
        </w:tc>
        <w:tc>
          <w:tcPr>
            <w:tcW w:w="1500" w:type="dxa"/>
          </w:tcPr>
          <w:p>
            <w:r>
              <w:t>12.8 亿元</w:t>
            </w:r>
          </w:p>
        </w:tc>
        <w:tc>
          <w:tcPr>
            <w:tcW w:w="1500" w:type="dxa"/>
          </w:tcPr>
          <w:p>
            <w:r>
              <w:t>15.4 亿元</w:t>
            </w:r>
          </w:p>
        </w:tc>
        <w:tc>
          <w:tcPr>
            <w:tcW w:w="1500" w:type="dxa"/>
          </w:tcPr>
          <w:p>
            <w:r>
              <w:t>+20.3%</w:t>
            </w:r>
          </w:p>
        </w:tc>
        <w:tc>
          <w:tcPr>
            <w:tcW w:w="2760" w:type="dxa"/>
          </w:tcPr>
          <w:p>
            <w:r>
              <w:t>订单增长较快</w:t>
            </w:r>
          </w:p>
        </w:tc>
      </w:tr>
      <w:tr>
        <w:tc>
          <w:tcPr>
            <w:tcW w:w="1800" w:type="dxa"/>
          </w:tcPr>
          <w:p>
            <w:r>
              <w:t>毛利率</w:t>
            </w:r>
          </w:p>
        </w:tc>
        <w:tc>
          <w:tcPr>
            <w:tcW w:w="1500" w:type="dxa"/>
          </w:tcPr>
          <w:p>
            <w:r>
              <w:t>31.2%</w:t>
            </w:r>
          </w:p>
        </w:tc>
        <w:tc>
          <w:tcPr>
            <w:tcW w:w="1500" w:type="dxa"/>
          </w:tcPr>
          <w:p>
            <w:r>
              <w:t>29.6%</w:t>
            </w:r>
          </w:p>
        </w:tc>
        <w:tc>
          <w:tcPr>
            <w:tcW w:w="1500" w:type="dxa"/>
          </w:tcPr>
          <w:p>
            <w:r>
              <w:t>-1.6pct</w:t>
            </w:r>
          </w:p>
        </w:tc>
        <w:tc>
          <w:tcPr>
            <w:tcW w:w="2760" w:type="dxa"/>
          </w:tcPr>
          <w:p>
            <w:r>
              <w:t>原材料价格上行</w:t>
            </w:r>
          </w:p>
        </w:tc>
      </w:tr>
      <w:tr>
        <w:tc>
          <w:tcPr>
            <w:tcW w:w="1800" w:type="dxa"/>
          </w:tcPr>
          <w:p>
            <w:r>
              <w:t>经营现金流</w:t>
            </w:r>
          </w:p>
        </w:tc>
        <w:tc>
          <w:tcPr>
            <w:tcW w:w="1500" w:type="dxa"/>
          </w:tcPr>
          <w:p>
            <w:r>
              <w:t>1.9 亿元</w:t>
            </w:r>
          </w:p>
        </w:tc>
        <w:tc>
          <w:tcPr>
            <w:tcW w:w="1500" w:type="dxa"/>
          </w:tcPr>
          <w:p>
            <w:r>
              <w:t>0.8 亿元</w:t>
            </w:r>
          </w:p>
        </w:tc>
        <w:tc>
          <w:tcPr>
            <w:tcW w:w="1500" w:type="dxa"/>
          </w:tcPr>
          <w:p>
            <w:r>
              <w:t>-57.9%</w:t>
            </w:r>
          </w:p>
        </w:tc>
        <w:tc>
          <w:tcPr>
            <w:tcW w:w="2760" w:type="dxa"/>
          </w:tcPr>
          <w:p>
            <w:r>
              <w:t>回款周期延长</w:t>
            </w:r>
          </w:p>
        </w:tc>
      </w:tr>
      <w:tr>
        <w:tc>
          <w:tcPr>
            <w:tcW w:w="1800" w:type="dxa"/>
          </w:tcPr>
          <w:p>
            <w:r>
              <w:t>应收账款周转天数</w:t>
            </w:r>
          </w:p>
        </w:tc>
        <w:tc>
          <w:tcPr>
            <w:tcW w:w="1500" w:type="dxa"/>
          </w:tcPr>
          <w:p>
            <w:r>
              <w:t>74 天</w:t>
            </w:r>
          </w:p>
        </w:tc>
        <w:tc>
          <w:tcPr>
            <w:tcW w:w="1500" w:type="dxa"/>
          </w:tcPr>
          <w:p>
            <w:r>
              <w:t>96 天</w:t>
            </w:r>
          </w:p>
        </w:tc>
        <w:tc>
          <w:tcPr>
            <w:tcW w:w="1500" w:type="dxa"/>
          </w:tcPr>
          <w:p>
            <w:r>
              <w:t>+22 天</w:t>
            </w:r>
          </w:p>
        </w:tc>
        <w:tc>
          <w:tcPr>
            <w:tcW w:w="2760" w:type="dxa"/>
          </w:tcPr>
          <w:p>
            <w:r>
              <w:t>赊销压力上升</w:t>
            </w:r>
          </w:p>
        </w:tc>
      </w:tr>
      <w:tr>
        <w:tc>
          <w:tcPr>
            <w:tcW w:w="1800" w:type="dxa"/>
          </w:tcPr>
          <w:p>
            <w:r>
              <w:t>存货周转天数</w:t>
            </w:r>
          </w:p>
        </w:tc>
        <w:tc>
          <w:tcPr>
            <w:tcW w:w="1500" w:type="dxa"/>
          </w:tcPr>
          <w:p>
            <w:r>
              <w:t>88 天</w:t>
            </w:r>
          </w:p>
        </w:tc>
        <w:tc>
          <w:tcPr>
            <w:tcW w:w="1500" w:type="dxa"/>
          </w:tcPr>
          <w:p>
            <w:r>
              <w:t>104 天</w:t>
            </w:r>
          </w:p>
        </w:tc>
        <w:tc>
          <w:tcPr>
            <w:tcW w:w="1500" w:type="dxa"/>
          </w:tcPr>
          <w:p>
            <w:r>
              <w:t>+16 天</w:t>
            </w:r>
          </w:p>
        </w:tc>
        <w:tc>
          <w:tcPr>
            <w:tcW w:w="2760" w:type="dxa"/>
          </w:tcPr>
          <w:p>
            <w:r>
              <w:t>备货周期拉长</w:t>
            </w:r>
          </w:p>
        </w:tc>
      </w:tr>
    </w:tbl>
    <w:p>
      <w:pPr>
        <w:pStyle w:val="Heading1"/>
      </w:pPr>
      <w:r>
        <w:t>三、授信风险矩阵</w:t>
      </w:r>
    </w:p>
    <w:p>
      <w:r>
        <w:t>风险矩阵中，客户集中度和逾期应收款占比已触发关注阈值。建议将相关指标纳入贷后月度监测，并要求企业按月提交应收账款账龄、回款责任人和重点客户确认函。</w:t>
      </w:r>
    </w:p>
    <w:tbl>
      <w:tblPr>
        <w:tblW w:w="906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500"/>
        <w:gridCol w:w="1500"/>
        <w:gridCol w:w="1500"/>
        <w:gridCol w:w="2760"/>
      </w:tblGrid>
      <w:tr>
        <w:trPr>
          <w:tblHeader/>
        </w:trPr>
        <w:tc>
          <w:tcPr>
            <w:tcW w:w="1800" w:type="dxa"/>
            <w:shd w:fill="E8F0F6"/>
          </w:tcPr>
          <w:p>
            <w:r>
              <w:rPr>
                <w:b/>
              </w:rPr>
              <w:t>风险项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当前状态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阈值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评级影响</w:t>
            </w:r>
          </w:p>
        </w:tc>
        <w:tc>
          <w:tcPr>
            <w:tcW w:w="2760" w:type="dxa"/>
            <w:shd w:fill="E8F0F6"/>
          </w:tcPr>
          <w:p>
            <w:r>
              <w:rPr>
                <w:b/>
              </w:rPr>
              <w:t>处置建议</w:t>
            </w:r>
          </w:p>
        </w:tc>
      </w:tr>
      <w:tr>
        <w:tc>
          <w:tcPr>
            <w:tcW w:w="1800" w:type="dxa"/>
          </w:tcPr>
          <w:p>
            <w:r>
              <w:t>资产负债率</w:t>
            </w:r>
          </w:p>
        </w:tc>
        <w:tc>
          <w:tcPr>
            <w:tcW w:w="1500" w:type="dxa"/>
          </w:tcPr>
          <w:p>
            <w:r>
              <w:t>64.8%</w:t>
            </w:r>
          </w:p>
        </w:tc>
        <w:tc>
          <w:tcPr>
            <w:tcW w:w="1500" w:type="dxa"/>
          </w:tcPr>
          <w:p>
            <w:r>
              <w:t>不高于 70%</w:t>
            </w:r>
          </w:p>
        </w:tc>
        <w:tc>
          <w:tcPr>
            <w:tcW w:w="1500" w:type="dxa"/>
          </w:tcPr>
          <w:p>
            <w:r>
              <w:t>稳定</w:t>
            </w:r>
          </w:p>
        </w:tc>
        <w:tc>
          <w:tcPr>
            <w:tcW w:w="2760" w:type="dxa"/>
          </w:tcPr>
          <w:p>
            <w:r>
              <w:t>维持季度跟踪</w:t>
            </w:r>
          </w:p>
        </w:tc>
      </w:tr>
      <w:tr>
        <w:tc>
          <w:tcPr>
            <w:tcW w:w="1800" w:type="dxa"/>
          </w:tcPr>
          <w:p>
            <w:r>
              <w:t>前五大客户收入占比</w:t>
            </w:r>
          </w:p>
        </w:tc>
        <w:tc>
          <w:tcPr>
            <w:tcW w:w="1500" w:type="dxa"/>
          </w:tcPr>
          <w:p>
            <w:r>
              <w:t>48.5%</w:t>
            </w:r>
          </w:p>
        </w:tc>
        <w:tc>
          <w:tcPr>
            <w:tcW w:w="1500" w:type="dxa"/>
          </w:tcPr>
          <w:p>
            <w:r>
              <w:t>不高于 45%</w:t>
            </w:r>
          </w:p>
        </w:tc>
        <w:tc>
          <w:tcPr>
            <w:tcW w:w="1500" w:type="dxa"/>
          </w:tcPr>
          <w:p>
            <w:r>
              <w:t>关注</w:t>
            </w:r>
          </w:p>
        </w:tc>
        <w:tc>
          <w:tcPr>
            <w:tcW w:w="2760" w:type="dxa"/>
          </w:tcPr>
          <w:p>
            <w:r>
              <w:t>补充客户分散计划</w:t>
            </w:r>
          </w:p>
        </w:tc>
      </w:tr>
      <w:tr>
        <w:tc>
          <w:tcPr>
            <w:tcW w:w="1800" w:type="dxa"/>
          </w:tcPr>
          <w:p>
            <w:r>
              <w:t>逾期应收款占比</w:t>
            </w:r>
          </w:p>
        </w:tc>
        <w:tc>
          <w:tcPr>
            <w:tcW w:w="1500" w:type="dxa"/>
          </w:tcPr>
          <w:p>
            <w:r>
              <w:t>6.2%</w:t>
            </w:r>
          </w:p>
        </w:tc>
        <w:tc>
          <w:tcPr>
            <w:tcW w:w="1500" w:type="dxa"/>
          </w:tcPr>
          <w:p>
            <w:r>
              <w:t>不高于 5%</w:t>
            </w:r>
          </w:p>
        </w:tc>
        <w:tc>
          <w:tcPr>
            <w:tcW w:w="1500" w:type="dxa"/>
          </w:tcPr>
          <w:p>
            <w:r>
              <w:t>关注</w:t>
            </w:r>
          </w:p>
        </w:tc>
        <w:tc>
          <w:tcPr>
            <w:tcW w:w="2760" w:type="dxa"/>
          </w:tcPr>
          <w:p>
            <w:r>
              <w:t>要求回款专项台账</w:t>
            </w:r>
          </w:p>
        </w:tc>
      </w:tr>
      <w:tr>
        <w:tc>
          <w:tcPr>
            <w:tcW w:w="1800" w:type="dxa"/>
          </w:tcPr>
          <w:p>
            <w:r>
              <w:t>短债覆盖倍数</w:t>
            </w:r>
          </w:p>
        </w:tc>
        <w:tc>
          <w:tcPr>
            <w:tcW w:w="1500" w:type="dxa"/>
          </w:tcPr>
          <w:p>
            <w:r>
              <w:t>1.18x</w:t>
            </w:r>
          </w:p>
        </w:tc>
        <w:tc>
          <w:tcPr>
            <w:tcW w:w="1500" w:type="dxa"/>
          </w:tcPr>
          <w:p>
            <w:r>
              <w:t>不低于 1.20x</w:t>
            </w:r>
          </w:p>
        </w:tc>
        <w:tc>
          <w:tcPr>
            <w:tcW w:w="1500" w:type="dxa"/>
          </w:tcPr>
          <w:p>
            <w:r>
              <w:t>轻微承压</w:t>
            </w:r>
          </w:p>
        </w:tc>
        <w:tc>
          <w:tcPr>
            <w:tcW w:w="2760" w:type="dxa"/>
          </w:tcPr>
          <w:p>
            <w:r>
              <w:t>保留提款节奏限制</w:t>
            </w:r>
          </w:p>
        </w:tc>
      </w:tr>
    </w:tbl>
    <w:p>
      <w:pPr>
        <w:pStyle w:val="Heading1"/>
      </w:pPr>
      <w:r>
        <w:t>四、现金流压力测试</w:t>
      </w:r>
    </w:p>
    <w:p>
      <w:r>
        <w:t>在基准情景下，公司仍可覆盖未来十二个月短期债务；在压力情景下，若回款延迟超过 45 天，短债覆盖倍数将降至 1.05x 以下。银行应保留提款节奏限制，并对新增敞口设置资金用途核验。</w:t>
      </w:r>
    </w:p>
    <w:tbl>
      <w:tblPr>
        <w:tblW w:w="906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500"/>
        <w:gridCol w:w="1500"/>
        <w:gridCol w:w="1500"/>
        <w:gridCol w:w="2760"/>
      </w:tblGrid>
      <w:tr>
        <w:trPr>
          <w:tblHeader/>
        </w:trPr>
        <w:tc>
          <w:tcPr>
            <w:tcW w:w="1800" w:type="dxa"/>
            <w:shd w:fill="E8F0F6"/>
          </w:tcPr>
          <w:p>
            <w:r>
              <w:rPr>
                <w:b/>
              </w:rPr>
              <w:t>情景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回款假设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经营现金流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短债覆盖倍数</w:t>
            </w:r>
          </w:p>
        </w:tc>
        <w:tc>
          <w:tcPr>
            <w:tcW w:w="2760" w:type="dxa"/>
            <w:shd w:fill="E8F0F6"/>
          </w:tcPr>
          <w:p>
            <w:r>
              <w:rPr>
                <w:b/>
              </w:rPr>
              <w:t>授信建议</w:t>
            </w:r>
          </w:p>
        </w:tc>
      </w:tr>
      <w:tr>
        <w:tc>
          <w:tcPr>
            <w:tcW w:w="1800" w:type="dxa"/>
          </w:tcPr>
          <w:p>
            <w:r>
              <w:t>基准</w:t>
            </w:r>
          </w:p>
        </w:tc>
        <w:tc>
          <w:tcPr>
            <w:tcW w:w="1500" w:type="dxa"/>
          </w:tcPr>
          <w:p>
            <w:r>
              <w:t>主要客户按合同回款</w:t>
            </w:r>
          </w:p>
        </w:tc>
        <w:tc>
          <w:tcPr>
            <w:tcW w:w="1500" w:type="dxa"/>
          </w:tcPr>
          <w:p>
            <w:r>
              <w:t>1.6 亿元</w:t>
            </w:r>
          </w:p>
        </w:tc>
        <w:tc>
          <w:tcPr>
            <w:tcW w:w="1500" w:type="dxa"/>
          </w:tcPr>
          <w:p>
            <w:r>
              <w:t>1.24x</w:t>
            </w:r>
          </w:p>
        </w:tc>
        <w:tc>
          <w:tcPr>
            <w:tcW w:w="2760" w:type="dxa"/>
          </w:tcPr>
          <w:p>
            <w:r>
              <w:t>维持额度</w:t>
            </w:r>
          </w:p>
        </w:tc>
      </w:tr>
      <w:tr>
        <w:tc>
          <w:tcPr>
            <w:tcW w:w="1800" w:type="dxa"/>
          </w:tcPr>
          <w:p>
            <w:r>
              <w:t>轻度压力</w:t>
            </w:r>
          </w:p>
        </w:tc>
        <w:tc>
          <w:tcPr>
            <w:tcW w:w="1500" w:type="dxa"/>
          </w:tcPr>
          <w:p>
            <w:r>
              <w:t>回款平均延迟 30 天</w:t>
            </w:r>
          </w:p>
        </w:tc>
        <w:tc>
          <w:tcPr>
            <w:tcW w:w="1500" w:type="dxa"/>
          </w:tcPr>
          <w:p>
            <w:r>
              <w:t>0.9 亿元</w:t>
            </w:r>
          </w:p>
        </w:tc>
        <w:tc>
          <w:tcPr>
            <w:tcW w:w="1500" w:type="dxa"/>
          </w:tcPr>
          <w:p>
            <w:r>
              <w:t>1.11x</w:t>
            </w:r>
          </w:p>
        </w:tc>
        <w:tc>
          <w:tcPr>
            <w:tcW w:w="2760" w:type="dxa"/>
          </w:tcPr>
          <w:p>
            <w:r>
              <w:t>限制新增提款</w:t>
            </w:r>
          </w:p>
        </w:tc>
      </w:tr>
      <w:tr>
        <w:tc>
          <w:tcPr>
            <w:tcW w:w="1800" w:type="dxa"/>
          </w:tcPr>
          <w:p>
            <w:r>
              <w:t>重度压力</w:t>
            </w:r>
          </w:p>
        </w:tc>
        <w:tc>
          <w:tcPr>
            <w:tcW w:w="1500" w:type="dxa"/>
          </w:tcPr>
          <w:p>
            <w:r>
              <w:t>回款平均延迟 45 天</w:t>
            </w:r>
          </w:p>
        </w:tc>
        <w:tc>
          <w:tcPr>
            <w:tcW w:w="1500" w:type="dxa"/>
          </w:tcPr>
          <w:p>
            <w:r>
              <w:t>0.3 亿元</w:t>
            </w:r>
          </w:p>
        </w:tc>
        <w:tc>
          <w:tcPr>
            <w:tcW w:w="1500" w:type="dxa"/>
          </w:tcPr>
          <w:p>
            <w:r>
              <w:t>0.96x</w:t>
            </w:r>
          </w:p>
        </w:tc>
        <w:tc>
          <w:tcPr>
            <w:tcW w:w="2760" w:type="dxa"/>
          </w:tcPr>
          <w:p>
            <w:r>
              <w:t>暂停新增敞口</w:t>
            </w:r>
          </w:p>
        </w:tc>
      </w:tr>
    </w:tbl>
    <w:p>
      <w:pPr>
        <w:pStyle w:val="Heading1"/>
      </w:pPr>
      <w:r>
        <w:t>五、整改事项跟踪</w:t>
      </w:r>
    </w:p>
    <w:tbl>
      <w:tblPr>
        <w:tblW w:w="906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500"/>
        <w:gridCol w:w="1500"/>
        <w:gridCol w:w="1500"/>
        <w:gridCol w:w="2760"/>
      </w:tblGrid>
      <w:tr>
        <w:trPr>
          <w:tblHeader/>
        </w:trPr>
        <w:tc>
          <w:tcPr>
            <w:tcW w:w="1800" w:type="dxa"/>
            <w:shd w:fill="E8F0F6"/>
          </w:tcPr>
          <w:p>
            <w:r>
              <w:rPr>
                <w:b/>
              </w:rPr>
              <w:t>事项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责任部门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到期时间</w:t>
            </w:r>
          </w:p>
        </w:tc>
        <w:tc>
          <w:tcPr>
            <w:tcW w:w="1500" w:type="dxa"/>
            <w:shd w:fill="E8F0F6"/>
          </w:tcPr>
          <w:p>
            <w:r>
              <w:rPr>
                <w:b/>
              </w:rPr>
              <w:t>当前进展</w:t>
            </w:r>
          </w:p>
        </w:tc>
        <w:tc>
          <w:tcPr>
            <w:tcW w:w="2760" w:type="dxa"/>
            <w:shd w:fill="E8F0F6"/>
          </w:tcPr>
          <w:p>
            <w:r>
              <w:rPr>
                <w:b/>
              </w:rPr>
              <w:t>贷后要求</w:t>
            </w:r>
          </w:p>
        </w:tc>
      </w:tr>
      <w:tr>
        <w:tc>
          <w:tcPr>
            <w:tcW w:w="1800" w:type="dxa"/>
          </w:tcPr>
          <w:p>
            <w:r>
              <w:t>客户集中度压降</w:t>
            </w:r>
          </w:p>
        </w:tc>
        <w:tc>
          <w:tcPr>
            <w:tcW w:w="1500" w:type="dxa"/>
          </w:tcPr>
          <w:p>
            <w:r>
              <w:t>销售中心</w:t>
            </w:r>
          </w:p>
        </w:tc>
        <w:tc>
          <w:tcPr>
            <w:tcW w:w="1500" w:type="dxa"/>
          </w:tcPr>
          <w:p>
            <w:r>
              <w:t>2026-09-30</w:t>
            </w:r>
          </w:p>
        </w:tc>
        <w:tc>
          <w:tcPr>
            <w:tcW w:w="1500" w:type="dxa"/>
          </w:tcPr>
          <w:p>
            <w:r>
              <w:t>已提交替代客户名单</w:t>
            </w:r>
          </w:p>
        </w:tc>
        <w:tc>
          <w:tcPr>
            <w:tcW w:w="2760" w:type="dxa"/>
          </w:tcPr>
          <w:p>
            <w:r>
              <w:t>每月更新订单转化</w:t>
            </w:r>
          </w:p>
        </w:tc>
      </w:tr>
      <w:tr>
        <w:tc>
          <w:tcPr>
            <w:tcW w:w="1800" w:type="dxa"/>
          </w:tcPr>
          <w:p>
            <w:r>
              <w:t>逾期应收款清收</w:t>
            </w:r>
          </w:p>
        </w:tc>
        <w:tc>
          <w:tcPr>
            <w:tcW w:w="1500" w:type="dxa"/>
          </w:tcPr>
          <w:p>
            <w:r>
              <w:t>财务中心</w:t>
            </w:r>
          </w:p>
        </w:tc>
        <w:tc>
          <w:tcPr>
            <w:tcW w:w="1500" w:type="dxa"/>
          </w:tcPr>
          <w:p>
            <w:r>
              <w:t>2026-08-31</w:t>
            </w:r>
          </w:p>
        </w:tc>
        <w:tc>
          <w:tcPr>
            <w:tcW w:w="1500" w:type="dxa"/>
          </w:tcPr>
          <w:p>
            <w:r>
              <w:t>完成 42% 回款</w:t>
            </w:r>
          </w:p>
        </w:tc>
        <w:tc>
          <w:tcPr>
            <w:tcW w:w="2760" w:type="dxa"/>
          </w:tcPr>
          <w:p>
            <w:r>
              <w:t>提供回款流水</w:t>
            </w:r>
          </w:p>
        </w:tc>
      </w:tr>
      <w:tr>
        <w:tc>
          <w:tcPr>
            <w:tcW w:w="1800" w:type="dxa"/>
          </w:tcPr>
          <w:p>
            <w:r>
              <w:t>存货库龄治理</w:t>
            </w:r>
          </w:p>
        </w:tc>
        <w:tc>
          <w:tcPr>
            <w:tcW w:w="1500" w:type="dxa"/>
          </w:tcPr>
          <w:p>
            <w:r>
              <w:t>供应链中心</w:t>
            </w:r>
          </w:p>
        </w:tc>
        <w:tc>
          <w:tcPr>
            <w:tcW w:w="1500" w:type="dxa"/>
          </w:tcPr>
          <w:p>
            <w:r>
              <w:t>2026-10-15</w:t>
            </w:r>
          </w:p>
        </w:tc>
        <w:tc>
          <w:tcPr>
            <w:tcW w:w="1500" w:type="dxa"/>
          </w:tcPr>
          <w:p>
            <w:r>
              <w:t>长库龄物料重分类</w:t>
            </w:r>
          </w:p>
        </w:tc>
        <w:tc>
          <w:tcPr>
            <w:tcW w:w="2760" w:type="dxa"/>
          </w:tcPr>
          <w:p>
            <w:r>
              <w:t>提交跌价测试</w:t>
            </w:r>
          </w:p>
        </w:tc>
      </w:tr>
    </w:tbl>
    <w:p>
      <w:pPr>
        <w:pStyle w:val="Heading1"/>
      </w:pPr>
      <w:r>
        <w:t>六、审查结论</w:t>
      </w:r>
    </w:p>
    <w:p>
      <w:r>
        <w:t>建议维持综合授信额度 3.5 亿元，其中流动资金贷款 2.2 亿元、银行承兑汇票 0.8 亿元、保函额度 0.5 亿元。新增提款需满足两个条件：一是 2026 年三季度经营现金流转正；二是逾期应收款占比降至 5% 以下。</w:t>
      </w:r>
    </w:p>
    <w:p>
      <w:r>
        <w:t>• 将前五大客户集中度纳入贷后月度监测。</w:t>
      </w:r>
    </w:p>
    <w:p>
      <w:r>
        <w:t>• 要求企业提供核心客户回款计划和存货库龄明细。</w:t>
      </w:r>
    </w:p>
    <w:p>
      <w:r>
        <w:t>• 若短债覆盖倍数连续两个月低于 1.1x，应暂停新增敞口。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Microsoft YaHei" w:eastAsia="Microsoft YaHei" w:hAnsi="Microsoft YaHei"/>
      <w:sz w:val="21"/>
    </w:rPr>
  </w:style>
  <w:style w:type="paragraph" w:styleId="Title">
    <w:name w:val="Title"/>
    <w:basedOn w:val="Normal"/>
    <w:next w:val="Normal"/>
    <w:qFormat/>
    <w:pPr>
      <w:spacing w:before="120" w:after="180"/>
      <w:jc w:val="center"/>
    </w:pPr>
    <w:rPr>
      <w:b/>
      <w:rFonts w:ascii="Microsoft YaHei" w:eastAsia="Microsoft YaHei" w:hAnsi="Microsoft YaHei"/>
      <w:color w:val="12324A"/>
      <w:sz w:val="32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rFonts w:ascii="Microsoft YaHei" w:eastAsia="Microsoft YaHei" w:hAnsi="Microsoft YaHei"/>
      <w:color w:val="0F3B36"/>
      <w:sz w:val="27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