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 w:line="300" w:lineRule="auto"/>
      </w:pPr>
      <w:r>
        <w:t>采购合同</w:t>
      </w:r>
    </w:p>
    <w:p>
      <w:pPr>
        <w:spacing w:after="120" w:line="300" w:lineRule="auto"/>
      </w:pPr>
      <w:r>
        <w:t>合同编号：PC-2026-0712</w:t>
      </w:r>
    </w:p>
    <w:p>
      <w:pPr>
        <w:spacing w:after="120" w:line="300" w:lineRule="auto"/>
      </w:pPr>
      <w:r>
        <w:t>甲方：华东智造集团，乙方：嘉兴精密部件有限公司。</w:t>
      </w:r>
    </w:p>
    <w:p>
      <w:pPr>
        <w:pStyle w:val="Heading1"/>
        <w:spacing w:after="120" w:line="300" w:lineRule="auto"/>
      </w:pPr>
      <w:r>
        <w:t>一、采购背景</w:t>
      </w:r>
    </w:p>
    <w:p>
      <w:pPr>
        <w:spacing w:after="120" w:line="300" w:lineRule="auto"/>
      </w:pPr>
      <w:r>
        <w:t>本合同用于华东智造集团新能源产线扩产项目，采购对象为伺服模组、控制板卡和关键装配组件。</w:t>
      </w:r>
    </w:p>
    <w:p>
      <w:pPr>
        <w:pStyle w:val="Heading1"/>
        <w:spacing w:after="120" w:line="300" w:lineRule="auto"/>
      </w:pPr>
      <w:r>
        <w:t>二、采购清单</w:t>
      </w:r>
    </w:p>
    <w:p>
      <w:pPr>
        <w:spacing w:after="120" w:line="300" w:lineRule="auto"/>
      </w:pPr>
      <w:r>
        <w:t>采购物料、规格、数量、交付节点和质量等级详见清单表。</w:t>
      </w:r>
    </w:p>
    <w:tbl>
      <w:tblPr>
        <w:tblW w:w="9600" w:type="dxa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00"/>
        <w:gridCol w:w="2600"/>
        <w:gridCol w:w="1800"/>
        <w:gridCol w:w="26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>物料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>规格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>数量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>交付节点</w:t>
            </w:r>
          </w:p>
        </w:tc>
      </w:tr>
      <w:tr>
        <w:tc>
          <w:tcPr>
            <w:tcW w:w="2600" w:type="dxa"/>
          </w:tcPr>
          <w:p>
            <w:r>
              <w:rPr/>
              <w:t>伺服模组</w:t>
            </w:r>
          </w:p>
        </w:tc>
        <w:tc>
          <w:tcPr>
            <w:tcW w:w="2600" w:type="dxa"/>
          </w:tcPr>
          <w:p>
            <w:r>
              <w:rPr/>
              <w:t>HM-SV-220</w:t>
            </w:r>
          </w:p>
        </w:tc>
        <w:tc>
          <w:tcPr>
            <w:tcW w:w="1800" w:type="dxa"/>
          </w:tcPr>
          <w:p>
            <w:r>
              <w:rPr/>
              <w:t>120 套</w:t>
            </w:r>
          </w:p>
        </w:tc>
        <w:tc>
          <w:tcPr>
            <w:tcW w:w="2600" w:type="dxa"/>
          </w:tcPr>
          <w:p>
            <w:r>
              <w:rPr/>
              <w:t>2026-08-20</w:t>
            </w:r>
          </w:p>
        </w:tc>
      </w:tr>
      <w:tr>
        <w:tc>
          <w:tcPr>
            <w:tcW w:w="2600" w:type="dxa"/>
          </w:tcPr>
          <w:p>
            <w:r>
              <w:rPr/>
              <w:t>控制板卡</w:t>
            </w:r>
          </w:p>
        </w:tc>
        <w:tc>
          <w:tcPr>
            <w:tcW w:w="2600" w:type="dxa"/>
          </w:tcPr>
          <w:p>
            <w:r>
              <w:rPr/>
              <w:t>HM-CTRL-X7</w:t>
            </w:r>
          </w:p>
        </w:tc>
        <w:tc>
          <w:tcPr>
            <w:tcW w:w="1800" w:type="dxa"/>
          </w:tcPr>
          <w:p>
            <w:r>
              <w:rPr/>
              <w:t>80 套</w:t>
            </w:r>
          </w:p>
        </w:tc>
        <w:tc>
          <w:tcPr>
            <w:tcW w:w="2600" w:type="dxa"/>
          </w:tcPr>
          <w:p>
            <w:r>
              <w:rPr/>
              <w:t>2026-09-05</w:t>
            </w:r>
          </w:p>
        </w:tc>
      </w:tr>
      <w:tr>
        <w:tc>
          <w:tcPr>
            <w:tcW w:w="2600" w:type="dxa"/>
          </w:tcPr>
          <w:p>
            <w:r>
              <w:rPr/>
              <w:t>高精度导轨</w:t>
            </w:r>
          </w:p>
        </w:tc>
        <w:tc>
          <w:tcPr>
            <w:tcW w:w="2600" w:type="dxa"/>
          </w:tcPr>
          <w:p>
            <w:r>
              <w:rPr/>
              <w:t>HG-45A</w:t>
            </w:r>
          </w:p>
        </w:tc>
        <w:tc>
          <w:tcPr>
            <w:tcW w:w="1800" w:type="dxa"/>
          </w:tcPr>
          <w:p>
            <w:r>
              <w:rPr/>
              <w:t>160 根</w:t>
            </w:r>
          </w:p>
        </w:tc>
        <w:tc>
          <w:tcPr>
            <w:tcW w:w="2600" w:type="dxa"/>
          </w:tcPr>
          <w:p>
            <w:r>
              <w:rPr/>
              <w:t>2026-09-12</w:t>
            </w:r>
          </w:p>
        </w:tc>
      </w:tr>
      <w:tr>
        <w:tc>
          <w:tcPr>
            <w:tcW w:w="2600" w:type="dxa"/>
          </w:tcPr>
          <w:p>
            <w:r>
              <w:rPr/>
              <w:t>视觉检测单元</w:t>
            </w:r>
          </w:p>
        </w:tc>
        <w:tc>
          <w:tcPr>
            <w:tcW w:w="2600" w:type="dxa"/>
          </w:tcPr>
          <w:p>
            <w:r>
              <w:rPr/>
              <w:t>VS-900</w:t>
            </w:r>
          </w:p>
        </w:tc>
        <w:tc>
          <w:tcPr>
            <w:tcW w:w="1800" w:type="dxa"/>
          </w:tcPr>
          <w:p>
            <w:r>
              <w:rPr/>
              <w:t>24 套</w:t>
            </w:r>
          </w:p>
        </w:tc>
        <w:tc>
          <w:tcPr>
            <w:tcW w:w="2600" w:type="dxa"/>
          </w:tcPr>
          <w:p>
            <w:r>
              <w:rPr/>
              <w:t>2026-09-25</w:t>
            </w:r>
          </w:p>
        </w:tc>
      </w:tr>
    </w:tbl>
    <w:p>
      <w:pPr>
        <w:pStyle w:val="Heading1"/>
        <w:spacing w:after="120" w:line="300" w:lineRule="auto"/>
      </w:pPr>
      <w:r>
        <w:t>三、付款条件</w:t>
      </w:r>
    </w:p>
    <w:p>
      <w:pPr>
        <w:spacing w:after="120" w:line="300" w:lineRule="auto"/>
      </w:pPr>
      <w:r>
        <w:t>预付款 20%，到货验收合格后支付 50%，剩余 30% 在稳定运行 60 天后支付。</w:t>
      </w:r>
    </w:p>
    <w:p>
      <w:pPr>
        <w:pStyle w:val="Heading1"/>
        <w:spacing w:after="120" w:line="300" w:lineRule="auto"/>
      </w:pPr>
      <w:r>
        <w:t>四、验收标准</w:t>
      </w:r>
    </w:p>
    <w:p>
      <w:pPr>
        <w:spacing w:after="120" w:line="300" w:lineRule="auto"/>
      </w:pPr>
      <w:r>
        <w:t>关键零部件尺寸偏差不得超过 0.02mm，批次不良率不得高于 0.8%，供应商需提供出厂检测报告。</w:t>
      </w:r>
    </w:p>
    <w:tbl>
      <w:tblPr>
        <w:tblW w:w="9600" w:type="dxa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00"/>
        <w:gridCol w:w="2600"/>
        <w:gridCol w:w="1800"/>
        <w:gridCol w:w="26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>检查项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>标准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>抽检比例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>不合格处理</w:t>
            </w:r>
          </w:p>
        </w:tc>
      </w:tr>
      <w:tr>
        <w:tc>
          <w:tcPr>
            <w:tcW w:w="2600" w:type="dxa"/>
          </w:tcPr>
          <w:p>
            <w:r>
              <w:rPr/>
              <w:t>尺寸精度</w:t>
            </w:r>
          </w:p>
        </w:tc>
        <w:tc>
          <w:tcPr>
            <w:tcW w:w="2600" w:type="dxa"/>
          </w:tcPr>
          <w:p>
            <w:r>
              <w:rPr/>
              <w:t>偏差 &lt;= 0.02mm</w:t>
            </w:r>
          </w:p>
        </w:tc>
        <w:tc>
          <w:tcPr>
            <w:tcW w:w="1800" w:type="dxa"/>
          </w:tcPr>
          <w:p>
            <w:r>
              <w:rPr/>
              <w:t>15%</w:t>
            </w:r>
          </w:p>
        </w:tc>
        <w:tc>
          <w:tcPr>
            <w:tcW w:w="2600" w:type="dxa"/>
          </w:tcPr>
          <w:p>
            <w:r>
              <w:rPr/>
              <w:t>整批复检</w:t>
            </w:r>
          </w:p>
        </w:tc>
      </w:tr>
      <w:tr>
        <w:tc>
          <w:tcPr>
            <w:tcW w:w="2600" w:type="dxa"/>
          </w:tcPr>
          <w:p>
            <w:r>
              <w:rPr/>
              <w:t>运行稳定性</w:t>
            </w:r>
          </w:p>
        </w:tc>
        <w:tc>
          <w:tcPr>
            <w:tcW w:w="2600" w:type="dxa"/>
          </w:tcPr>
          <w:p>
            <w:r>
              <w:rPr/>
              <w:t>连续运行 72 小时无异常</w:t>
            </w:r>
          </w:p>
        </w:tc>
        <w:tc>
          <w:tcPr>
            <w:tcW w:w="1800" w:type="dxa"/>
          </w:tcPr>
          <w:p>
            <w:r>
              <w:rPr/>
              <w:t>100%</w:t>
            </w:r>
          </w:p>
        </w:tc>
        <w:tc>
          <w:tcPr>
            <w:tcW w:w="2600" w:type="dxa"/>
          </w:tcPr>
          <w:p>
            <w:r>
              <w:rPr/>
              <w:t>暂停付款</w:t>
            </w:r>
          </w:p>
        </w:tc>
      </w:tr>
      <w:tr>
        <w:tc>
          <w:tcPr>
            <w:tcW w:w="2600" w:type="dxa"/>
          </w:tcPr>
          <w:p>
            <w:r>
              <w:rPr/>
              <w:t>外观包装</w:t>
            </w:r>
          </w:p>
        </w:tc>
        <w:tc>
          <w:tcPr>
            <w:tcW w:w="2600" w:type="dxa"/>
          </w:tcPr>
          <w:p>
            <w:r>
              <w:rPr/>
              <w:t>无磕碰、无锈蚀</w:t>
            </w:r>
          </w:p>
        </w:tc>
        <w:tc>
          <w:tcPr>
            <w:tcW w:w="1800" w:type="dxa"/>
          </w:tcPr>
          <w:p>
            <w:r>
              <w:rPr/>
              <w:t>20%</w:t>
            </w:r>
          </w:p>
        </w:tc>
        <w:tc>
          <w:tcPr>
            <w:tcW w:w="2600" w:type="dxa"/>
          </w:tcPr>
          <w:p>
            <w:r>
              <w:rPr/>
              <w:t>退换货</w:t>
            </w:r>
          </w:p>
        </w:tc>
      </w:tr>
    </w:tbl>
    <w:p>
      <w:pPr>
        <w:pStyle w:val="Heading1"/>
        <w:spacing w:after="120" w:line="300" w:lineRule="auto"/>
      </w:pPr>
      <w:r>
        <w:t>五、交付与物流</w:t>
      </w:r>
    </w:p>
    <w:p>
      <w:pPr>
        <w:spacing w:after="120" w:line="300" w:lineRule="auto"/>
      </w:pPr>
      <w:r>
        <w:t>乙方负责运输、保险和入库前风险；甲方仓库完成外观检查后出具到货确认。</w:t>
      </w:r>
    </w:p>
    <w:p>
      <w:pPr>
        <w:pStyle w:val="Heading1"/>
        <w:spacing w:after="120" w:line="300" w:lineRule="auto"/>
      </w:pPr>
      <w:r>
        <w:t>六、违约条款</w:t>
      </w:r>
    </w:p>
    <w:p>
      <w:pPr>
        <w:spacing w:after="120" w:line="300" w:lineRule="auto"/>
      </w:pPr>
      <w:r>
        <w:t>逾期交付超过 10 个工作日，乙方按未交付金额每日 0.05% 支付违约金。</w:t>
      </w:r>
    </w:p>
    <w:p>
      <w:pPr>
        <w:pStyle w:val="Heading1"/>
        <w:spacing w:after="120" w:line="300" w:lineRule="auto"/>
      </w:pPr>
      <w:r>
        <w:t>七、质量追索</w:t>
      </w:r>
    </w:p>
    <w:p>
      <w:pPr>
        <w:spacing w:after="120" w:line="300" w:lineRule="auto"/>
      </w:pPr>
      <w:r>
        <w:t>质保期内出现批量质量问题，乙方应在 48 小时内响应，并承担返工、替换和停线损失。</w:t>
      </w:r>
    </w:p>
    <w:tbl>
      <w:tblPr>
        <w:tblW w:w="9600" w:type="dxa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00"/>
        <w:gridCol w:w="2600"/>
        <w:gridCol w:w="1800"/>
        <w:gridCol w:w="26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>场景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>响应时限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>责任承担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>证据材料</w:t>
            </w:r>
          </w:p>
        </w:tc>
      </w:tr>
      <w:tr>
        <w:tc>
          <w:tcPr>
            <w:tcW w:w="2600" w:type="dxa"/>
          </w:tcPr>
          <w:p>
            <w:r>
              <w:rPr/>
              <w:t>批量故障</w:t>
            </w:r>
          </w:p>
        </w:tc>
        <w:tc>
          <w:tcPr>
            <w:tcW w:w="2600" w:type="dxa"/>
          </w:tcPr>
          <w:p>
            <w:r>
              <w:rPr/>
              <w:t>48 小时</w:t>
            </w:r>
          </w:p>
        </w:tc>
        <w:tc>
          <w:tcPr>
            <w:tcW w:w="1800" w:type="dxa"/>
          </w:tcPr>
          <w:p>
            <w:r>
              <w:rPr/>
              <w:t>乙方承担返工和替换</w:t>
            </w:r>
          </w:p>
        </w:tc>
        <w:tc>
          <w:tcPr>
            <w:tcW w:w="2600" w:type="dxa"/>
          </w:tcPr>
          <w:p>
            <w:r>
              <w:rPr/>
              <w:t>检测报告、现场照片</w:t>
            </w:r>
          </w:p>
        </w:tc>
      </w:tr>
      <w:tr>
        <w:tc>
          <w:tcPr>
            <w:tcW w:w="2600" w:type="dxa"/>
          </w:tcPr>
          <w:p>
            <w:r>
              <w:rPr/>
              <w:t>停线损失</w:t>
            </w:r>
          </w:p>
        </w:tc>
        <w:tc>
          <w:tcPr>
            <w:tcW w:w="2600" w:type="dxa"/>
          </w:tcPr>
          <w:p>
            <w:r>
              <w:rPr/>
              <w:t>24 小时</w:t>
            </w:r>
          </w:p>
        </w:tc>
        <w:tc>
          <w:tcPr>
            <w:tcW w:w="1800" w:type="dxa"/>
          </w:tcPr>
          <w:p>
            <w:r>
              <w:rPr/>
              <w:t>按实际停线损失协商赔付</w:t>
            </w:r>
          </w:p>
        </w:tc>
        <w:tc>
          <w:tcPr>
            <w:tcW w:w="2600" w:type="dxa"/>
          </w:tcPr>
          <w:p>
            <w:r>
              <w:rPr/>
              <w:t>停线记录、维修单</w:t>
            </w:r>
          </w:p>
        </w:tc>
      </w:tr>
    </w:tbl>
    <w:p>
      <w:pPr>
        <w:pStyle w:val="Heading1"/>
        <w:spacing w:after="120" w:line="300" w:lineRule="auto"/>
      </w:pPr>
      <w:r>
        <w:t>八、争议解决</w:t>
      </w:r>
    </w:p>
    <w:p>
      <w:pPr>
        <w:spacing w:after="120" w:line="300" w:lineRule="auto"/>
      </w:pPr>
      <w:r>
        <w:t>争议先由双方业务负责人协商；协商不成的，提交甲方所在地人民法院处理。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Microsoft YaHei" w:eastAsia="Microsoft YaHei"/>
      <w:sz w:val="21"/>
    </w:rPr>
  </w:style>
  <w:style w:type="paragraph" w:styleId="Heading1">
    <w:name w:val="heading 1"/>
    <w:rPr>
      <w:b/>
      <w:color w:val="12324A"/>
      <w:sz w:val="28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