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F68" w:rsidRPr="00FA56FB" w:rsidRDefault="00BB4F68" w:rsidP="00BB4F68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10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51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21 Федерального закона «Об опеке и попечительстве»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269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173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243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35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146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257 Гражданского кодекса Российской Федерации;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1227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абзац 1 пункта 1 статьи 432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39.33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589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4F68" w:rsidRPr="00A07909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81AA7" w:rsidRDefault="00581AA7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lastRenderedPageBreak/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701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1135, пункт 3 статьи 1174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</w:p>
    <w:p w:rsidR="00581AA7" w:rsidRDefault="00581AA7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1146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1172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1162 Гражданского кодекса Российской Федерации, пункт 134 Приказа Минюста России от 16.04.2014 N 78 «Об утверждении Правил нотариального делопроизводства»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1183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1156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1288 Гражданского кодекса Российской Федерации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3 Федерального закона от 24.07.2002 № 101-ФЗ «Об обороте земель сельскохозяйственного назначения»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103.9 Основ законодательства Российской Федерации о нотариате</w:t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BB4F68" w:rsidRPr="00581AA7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1140.1 Гражданского кодекса Российской Федерации</w:t>
      </w:r>
    </w:p>
    <w:p w:rsidR="00BB4F68" w:rsidRPr="00581AA7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BB4F68" w:rsidRPr="00FA56FB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BB4F68" w:rsidRPr="00682C9C" w:rsidRDefault="00BB4F68" w:rsidP="00BB4F6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D759EF" w:rsidRDefault="00BB4F68" w:rsidP="00581AA7">
      <w:pPr>
        <w:spacing w:after="0" w:line="240" w:lineRule="auto"/>
        <w:jc w:val="both"/>
      </w:pPr>
      <w:r w:rsidRPr="00682C9C">
        <w:rPr>
          <w:rFonts w:ascii="Times New Roman" w:hAnsi="Times New Roman" w:cs="Times New Roman"/>
          <w:noProof/>
        </w:rPr>
        <w:t>Обоснование: пункт 2 статьи 123.20-1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bookmarkStart w:id="0" w:name="_GoBack"/>
      <w:bookmarkEnd w:id="0"/>
    </w:p>
    <w:sectPr w:rsidR="00D7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68"/>
    <w:rsid w:val="00581AA7"/>
    <w:rsid w:val="00BB4F68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F420"/>
  <w15:chartTrackingRefBased/>
  <w15:docId w15:val="{4CEF877D-E973-474A-ADE5-F2E89DED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F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2022-10-10T10:38:00Z</dcterms:created>
  <dcterms:modified xsi:type="dcterms:W3CDTF">2022-10-11T13:36:00Z</dcterms:modified>
</cp:coreProperties>
</file>