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195" w:rsidRPr="00FA56FB" w:rsidRDefault="00F42195" w:rsidP="00F42195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>
        <w:rPr>
          <w:rFonts w:ascii="Times New Roman" w:hAnsi="Times New Roman" w:cs="Times New Roman"/>
          <w:b/>
          <w:noProof/>
        </w:rPr>
        <w:t>КЛЮЧ</w:t>
      </w:r>
      <w:r w:rsidRPr="00974ADA">
        <w:rPr>
          <w:rFonts w:ascii="Times New Roman" w:hAnsi="Times New Roman" w:cs="Times New Roman"/>
          <w:b/>
          <w:noProof/>
        </w:rPr>
        <w:t xml:space="preserve"> № 7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F42195" w:rsidRPr="00FA56FB" w:rsidRDefault="00F42195" w:rsidP="00F42195">
      <w:pPr>
        <w:jc w:val="center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Ст. 34.4 ОЗН «…Сведения о совершении нотариальных действий удаленно и об удостоверении сделок двумя и более нотариусами при их регистрации в реестре нотариальных действий, совершенных удаленно, и сделок, удостоверенных двумя и более нотариусами, единой информационной системы нотариата вносятся нотариусом в единую информационную систему нотариата незамедлительно…»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145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статья 113 Гражданского кодекса Российской Федерации, статья 18 Федерального закона «О государственных и муниципальных унитарных предприятиях»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45 Федерального закона № 218 «О государственной регистрации недвижимости»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250 Гражданского кодекса Российской Федерации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статья 41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51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255 Гражданского кодекса Российской Федерации.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1236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453 Гражданского кодекса Российской Федерации, пункт 3 Постановления Пленума Высшего Арбитражного Суда Российской Федерации от 06.06.2014 № 35 «О последствиях расторжения договора»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615 Гражданского кодекса Российской Федерации, статья 22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статьи 583, 587 Гражданского кодекса Российской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A07909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13: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1016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1120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1126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1156 Гражданского кодекса Российской Федерации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статья 1152 Гражданского кодекса Российской Федерации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1169 Гражданского кодекса Российской Федерации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статьи 253, 255, 1118 Гражданского кодекса Российской Федерации, статьи 6-8 Федерального закона от 11.06.2003 № 74–ФЗ «О крестьянском (фермерском) хозяйстве»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1161 Гражданского кодекса Российской Федерации, пункт 47 постановления Пленума Верховного Суда РФ от 29.05.2012 № 9 "О судебной практике по делам о наследовании"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75 Основ законодательства Российской Федерации о нотариате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1283 Гражданского кодекса Российской Федерации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57 Основ законодательства РФ о нотариате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103.8 Основ законодательства Российской Федерации о нотариате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1111, пункт 1 статьи 1152 Гражданского кодекса Российской Федерации</w:t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42195" w:rsidRPr="00FA56FB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F42195" w:rsidRPr="00974ADA" w:rsidRDefault="00F42195" w:rsidP="00F4219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C150BB" w:rsidRDefault="00F42195" w:rsidP="00F42195">
      <w:pPr>
        <w:spacing w:after="0" w:line="240" w:lineRule="auto"/>
        <w:jc w:val="both"/>
      </w:pPr>
      <w:r w:rsidRPr="00974ADA">
        <w:rPr>
          <w:rFonts w:ascii="Times New Roman" w:hAnsi="Times New Roman" w:cs="Times New Roman"/>
          <w:noProof/>
        </w:rPr>
        <w:t>Обоснование: пункт 5 статьи 1124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bookmarkStart w:id="0" w:name="_GoBack"/>
      <w:bookmarkEnd w:id="0"/>
    </w:p>
    <w:sectPr w:rsidR="00C150BB" w:rsidSect="00C9754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195"/>
    <w:rsid w:val="00C150BB"/>
    <w:rsid w:val="00F4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979E3A-76D5-476C-A423-F66E5501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21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1</cp:revision>
  <dcterms:created xsi:type="dcterms:W3CDTF">2022-10-10T10:28:00Z</dcterms:created>
  <dcterms:modified xsi:type="dcterms:W3CDTF">2022-10-10T10:28:00Z</dcterms:modified>
</cp:coreProperties>
</file>