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aps/>
          <w:color w:val="0C7D72"/>
          <w:sz w:val="18"/>
          <w:szCs w:val="18"/>
        </w:rPr>
        <w:t xml:space="preserve">TECHNICAL REVIEW — RESPONSE</w:t>
      </w:r>
    </w:p>
    <w:p>
      <w:pPr>
        <w:spacing w:after="120"/>
      </w:pPr>
      <w:r>
        <w:rPr>
          <w:rFonts w:ascii="Calibri" w:cs="Calibri" w:eastAsia="Calibri" w:hAnsi="Calibri"/>
          <w:b/>
          <w:bCs/>
          <w:color w:val="14315C"/>
          <w:sz w:val="40"/>
          <w:szCs w:val="40"/>
        </w:rPr>
        <w:t xml:space="preserve">NoteMD Platform Architecture &amp; Data Protection</w:t>
      </w:r>
    </w:p>
    <w:p>
      <w:pPr>
        <w:spacing w:after="120"/>
      </w:pPr>
      <w:r>
        <w:rPr>
          <w:rFonts w:ascii="Calibri" w:cs="Calibri" w:eastAsia="Calibri" w:hAnsi="Calibri"/>
          <w:b w:val="false"/>
          <w:bCs w:val="false"/>
          <w:i w:val="false"/>
          <w:iCs w:val="false"/>
          <w:color w:val="4A5C6E"/>
          <w:sz w:val="21"/>
          <w:szCs w:val="21"/>
        </w:rPr>
        <w:t xml:space="preserve">Prepared in response to the technical requirements request, for use in DPIA, DSPT, DTAC and DCB0129 clinical safety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Field</w:t>
            </w:r>
          </w:p>
        </w:tc>
        <w:tc>
          <w:tcPr>
            <w:tcW w:type="dxa" w:w="68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Detail</w:t>
            </w:r>
          </w:p>
        </w:tc>
      </w:tr>
      <w:tr>
        <w:trPr>
          <w:tblHeader w:val="false"/>
        </w:trPr>
        <w:tc>
          <w:tcPr>
            <w:tcW w:type="dxa" w:w="2200"/>
            <w:tcMar>
              <w:top w:type="dxa" w:w="80"/>
              <w:left w:type="dxa" w:w="120"/>
              <w:bottom w:type="dxa" w:w="80"/>
              <w:right w:type="dxa" w:w="120"/>
            </w:tcMar>
          </w:tcPr>
          <w:p>
            <w:r>
              <w:rPr>
                <w:rFonts w:ascii="Calibri" w:cs="Calibri" w:eastAsia="Calibri" w:hAnsi="Calibri"/>
                <w:b w:val="false"/>
                <w:bCs w:val="false"/>
                <w:color w:val="12212E"/>
                <w:sz w:val="19"/>
                <w:szCs w:val="19"/>
              </w:rPr>
              <w:t xml:space="preserve">Prepared</w:t>
            </w:r>
          </w:p>
        </w:tc>
        <w:tc>
          <w:tcPr>
            <w:tcW w:type="dxa" w:w="6826"/>
            <w:tcMar>
              <w:top w:type="dxa" w:w="80"/>
              <w:left w:type="dxa" w:w="120"/>
              <w:bottom w:type="dxa" w:w="80"/>
              <w:right w:type="dxa" w:w="120"/>
            </w:tcMar>
          </w:tcPr>
          <w:p>
            <w:r>
              <w:rPr>
                <w:rFonts w:ascii="Calibri" w:cs="Calibri" w:eastAsia="Calibri" w:hAnsi="Calibri"/>
                <w:b w:val="false"/>
                <w:bCs w:val="false"/>
                <w:color w:val="12212E"/>
                <w:sz w:val="19"/>
                <w:szCs w:val="19"/>
              </w:rPr>
              <w:t xml:space="preserve">26 August 2026</w:t>
            </w:r>
          </w:p>
        </w:tc>
      </w:tr>
      <w:tr>
        <w:trPr>
          <w:tblHeader w:val="false"/>
        </w:trPr>
        <w:tc>
          <w:tcPr>
            <w:tcW w:type="dxa" w:w="2200"/>
            <w:tcMar>
              <w:top w:type="dxa" w:w="80"/>
              <w:left w:type="dxa" w:w="120"/>
              <w:bottom w:type="dxa" w:w="80"/>
              <w:right w:type="dxa" w:w="120"/>
            </w:tcMar>
          </w:tcPr>
          <w:p>
            <w:r>
              <w:rPr>
                <w:rFonts w:ascii="Calibri" w:cs="Calibri" w:eastAsia="Calibri" w:hAnsi="Calibri"/>
                <w:b w:val="false"/>
                <w:bCs w:val="false"/>
                <w:color w:val="12212E"/>
                <w:sz w:val="19"/>
                <w:szCs w:val="19"/>
              </w:rPr>
              <w:t xml:space="preserve">Prepared by</w:t>
            </w:r>
          </w:p>
        </w:tc>
        <w:tc>
          <w:tcPr>
            <w:tcW w:type="dxa" w:w="6826"/>
            <w:tcMar>
              <w:top w:type="dxa" w:w="80"/>
              <w:left w:type="dxa" w:w="120"/>
              <w:bottom w:type="dxa" w:w="80"/>
              <w:right w:type="dxa" w:w="120"/>
            </w:tcMar>
          </w:tcPr>
          <w:p>
            <w:r>
              <w:rPr>
                <w:rFonts w:ascii="Calibri" w:cs="Calibri" w:eastAsia="Calibri" w:hAnsi="Calibri"/>
                <w:b w:val="false"/>
                <w:bCs w:val="false"/>
                <w:color w:val="12212E"/>
                <w:sz w:val="19"/>
                <w:szCs w:val="19"/>
              </w:rPr>
              <w:t xml:space="preserve">Development team (Valoco)</w:t>
            </w:r>
          </w:p>
        </w:tc>
      </w:tr>
      <w:tr>
        <w:trPr>
          <w:tblHeader w:val="false"/>
        </w:trPr>
        <w:tc>
          <w:tcPr>
            <w:tcW w:type="dxa" w:w="2200"/>
            <w:tcMar>
              <w:top w:type="dxa" w:w="80"/>
              <w:left w:type="dxa" w:w="120"/>
              <w:bottom w:type="dxa" w:w="80"/>
              <w:right w:type="dxa" w:w="120"/>
            </w:tcMar>
          </w:tcPr>
          <w:p>
            <w:r>
              <w:rPr>
                <w:rFonts w:ascii="Calibri" w:cs="Calibri" w:eastAsia="Calibri" w:hAnsi="Calibri"/>
                <w:b w:val="false"/>
                <w:bCs w:val="false"/>
                <w:color w:val="12212E"/>
                <w:sz w:val="19"/>
                <w:szCs w:val="19"/>
              </w:rPr>
              <w:t xml:space="preserve">Scope</w:t>
            </w:r>
          </w:p>
        </w:tc>
        <w:tc>
          <w:tcPr>
            <w:tcW w:type="dxa" w:w="6826"/>
            <w:tcMar>
              <w:top w:type="dxa" w:w="80"/>
              <w:left w:type="dxa" w:w="120"/>
              <w:bottom w:type="dxa" w:w="80"/>
              <w:right w:type="dxa" w:w="120"/>
            </w:tcMar>
          </w:tcPr>
          <w:p>
            <w:r>
              <w:rPr>
                <w:rFonts w:ascii="Calibri" w:cs="Calibri" w:eastAsia="Calibri" w:hAnsi="Calibri"/>
                <w:b w:val="false"/>
                <w:bCs w:val="false"/>
                <w:color w:val="12212E"/>
                <w:sz w:val="19"/>
                <w:szCs w:val="19"/>
              </w:rPr>
              <w:t xml:space="preserve">Production configuration as committed to the repository</w:t>
            </w:r>
          </w:p>
        </w:tc>
      </w:tr>
      <w:tr>
        <w:trPr>
          <w:tblHeader w:val="false"/>
        </w:trPr>
        <w:tc>
          <w:tcPr>
            <w:tcW w:type="dxa" w:w="2200"/>
            <w:tcMar>
              <w:top w:type="dxa" w:w="80"/>
              <w:left w:type="dxa" w:w="120"/>
              <w:bottom w:type="dxa" w:w="80"/>
              <w:right w:type="dxa" w:w="120"/>
            </w:tcMar>
          </w:tcPr>
          <w:p>
            <w:r>
              <w:rPr>
                <w:rFonts w:ascii="Calibri" w:cs="Calibri" w:eastAsia="Calibri" w:hAnsi="Calibri"/>
                <w:b w:val="false"/>
                <w:bCs w:val="false"/>
                <w:color w:val="12212E"/>
                <w:sz w:val="19"/>
                <w:szCs w:val="19"/>
              </w:rPr>
              <w:t xml:space="preserve">Method</w:t>
            </w:r>
          </w:p>
        </w:tc>
        <w:tc>
          <w:tcPr>
            <w:tcW w:type="dxa" w:w="6826"/>
            <w:tcMar>
              <w:top w:type="dxa" w:w="80"/>
              <w:left w:type="dxa" w:w="120"/>
              <w:bottom w:type="dxa" w:w="80"/>
              <w:right w:type="dxa" w:w="120"/>
            </w:tcMar>
          </w:tcPr>
          <w:p>
            <w:r>
              <w:rPr>
                <w:rFonts w:ascii="Calibri" w:cs="Calibri" w:eastAsia="Calibri" w:hAnsi="Calibri"/>
                <w:b w:val="false"/>
                <w:bCs w:val="false"/>
                <w:color w:val="12212E"/>
                <w:sz w:val="19"/>
                <w:szCs w:val="19"/>
              </w:rPr>
              <w:t xml:space="preserve">Code and configuration audit, plus live endpoint verification</w:t>
            </w:r>
          </w:p>
        </w:tc>
      </w:tr>
      <w:tr>
        <w:trPr>
          <w:tblHeader w:val="false"/>
        </w:trPr>
        <w:tc>
          <w:tcPr>
            <w:tcW w:type="dxa" w:w="2200"/>
            <w:tcMar>
              <w:top w:type="dxa" w:w="80"/>
              <w:left w:type="dxa" w:w="120"/>
              <w:bottom w:type="dxa" w:w="80"/>
              <w:right w:type="dxa" w:w="120"/>
            </w:tcMar>
          </w:tcPr>
          <w:p>
            <w:r>
              <w:rPr>
                <w:rFonts w:ascii="Calibri" w:cs="Calibri" w:eastAsia="Calibri" w:hAnsi="Calibri"/>
                <w:b w:val="false"/>
                <w:bCs w:val="false"/>
                <w:color w:val="12212E"/>
                <w:sz w:val="19"/>
                <w:szCs w:val="19"/>
              </w:rPr>
              <w:t xml:space="preserve">Not included</w:t>
            </w:r>
          </w:p>
        </w:tc>
        <w:tc>
          <w:tcPr>
            <w:tcW w:type="dxa" w:w="6826"/>
            <w:tcMar>
              <w:top w:type="dxa" w:w="80"/>
              <w:left w:type="dxa" w:w="120"/>
              <w:bottom w:type="dxa" w:w="80"/>
              <w:right w:type="dxa" w:w="120"/>
            </w:tcMar>
          </w:tcPr>
          <w:p>
            <w:r>
              <w:rPr>
                <w:rFonts w:ascii="Calibri" w:cs="Calibri" w:eastAsia="Calibri" w:hAnsi="Calibri"/>
                <w:b w:val="false"/>
                <w:bCs w:val="false"/>
                <w:color w:val="12212E"/>
                <w:sz w:val="19"/>
                <w:szCs w:val="19"/>
              </w:rPr>
              <w:t xml:space="preserve">Penetration test; this is a design review, not an adversarial assessment</w:t>
            </w:r>
          </w:p>
        </w:tc>
      </w:tr>
    </w:tbl>
    <w:p>
      <w:pPr>
        <w:spacing w:after="200"/>
      </w:pPr>
    </w:p>
    <w:p>
      <w:pPr>
        <w:spacing w:after="120"/>
      </w:pPr>
      <w:r>
        <w:rPr>
          <w:rFonts w:ascii="Calibri" w:cs="Calibri" w:eastAsia="Calibri" w:hAnsi="Calibri"/>
          <w:b w:val="false"/>
          <w:bCs w:val="false"/>
          <w:i/>
          <w:iCs/>
          <w:color w:val="4A5C6E"/>
          <w:sz w:val="21"/>
          <w:szCs w:val="21"/>
        </w:rPr>
        <w:t xml:space="preserve">This document records the system as built. It is technical evidence, not legal advice: the lawful basis, the Article 9 condition and the transfer risk assessments require sign-off by a data protection officer.</w:t>
      </w:r>
    </w:p>
    <w:p>
      <w:pPr>
        <w:pBdr>
          <w:bottom w:val="single" w:color="DCE5EC" w:sz="6" w:space="1"/>
        </w:pBdr>
        <w:spacing w:after="200" w:before="200"/>
      </w:pPr>
    </w:p>
    <w:p>
      <w:pPr>
        <w:pStyle w:val="Heading2"/>
        <w:spacing w:after="120" w:before="260"/>
      </w:pPr>
      <w:r>
        <w:rPr>
          <w:rFonts w:ascii="Calibri" w:cs="Calibri" w:eastAsia="Calibri" w:hAnsi="Calibri"/>
          <w:b/>
          <w:bCs/>
          <w:color w:val="12212E"/>
          <w:sz w:val="24"/>
          <w:szCs w:val="24"/>
        </w:rPr>
        <w:t xml:space="preserve">How to read this document</w:t>
      </w:r>
    </w:p>
    <w:p>
      <w:pPr>
        <w:spacing w:after="120"/>
      </w:pPr>
      <w:r>
        <w:rPr>
          <w:rFonts w:ascii="Calibri" w:cs="Calibri" w:eastAsia="Calibri" w:hAnsi="Calibri"/>
          <w:b w:val="false"/>
          <w:bCs w:val="false"/>
          <w:i w:val="false"/>
          <w:iCs w:val="false"/>
          <w:color w:val="12212E"/>
          <w:sz w:val="21"/>
          <w:szCs w:val="21"/>
        </w:rPr>
        <w:t xml:space="preserve">Each of your fifteen sections is answered in order. Your original request appears in grey, followed by our response. Every item carries one of four markers, as you asked: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526"/>
      </w:tblGrid>
      <w:tr>
        <w:trPr>
          <w:tblHeader/>
        </w:trPr>
        <w:tc>
          <w:tcPr>
            <w:tcW w:type="dxa" w:w="9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Key</w:t>
            </w:r>
          </w:p>
        </w:tc>
        <w:tc>
          <w:tcPr>
            <w:tcW w:type="dxa" w:w="26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Meaning</w:t>
            </w:r>
          </w:p>
        </w:tc>
        <w:tc>
          <w:tcPr>
            <w:tcW w:type="dxa" w:w="55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Who acts</w:t>
            </w:r>
          </w:p>
        </w:tc>
      </w:tr>
      <w:tr>
        <w:trPr>
          <w:tblHeader w:val="false"/>
        </w:trPr>
        <w:tc>
          <w:tcPr>
            <w:tcW w:type="dxa" w:w="900"/>
            <w:tcMar>
              <w:top w:type="dxa" w:w="80"/>
              <w:left w:type="dxa" w:w="120"/>
              <w:bottom w:type="dxa" w:w="80"/>
              <w:right w:type="dxa" w:w="120"/>
            </w:tcMar>
          </w:tcPr>
          <w:p>
            <w:r>
              <w:rPr>
                <w:rFonts w:ascii="Calibri" w:cs="Calibri" w:eastAsia="Calibri" w:hAnsi="Calibri"/>
                <w:b/>
                <w:bCs/>
                <w:color w:val="1B7F4D"/>
                <w:sz w:val="19"/>
                <w:szCs w:val="19"/>
              </w:rPr>
              <w:t xml:space="preserve">A</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Implemented and tested</w:t>
            </w:r>
          </w:p>
        </w:tc>
        <w:tc>
          <w:tcPr>
            <w:tcW w:type="dxa" w:w="5526"/>
            <w:tcMar>
              <w:top w:type="dxa" w:w="80"/>
              <w:left w:type="dxa" w:w="120"/>
              <w:bottom w:type="dxa" w:w="80"/>
              <w:right w:type="dxa" w:w="120"/>
            </w:tcMar>
          </w:tcPr>
          <w:p>
            <w:r>
              <w:rPr>
                <w:rFonts w:ascii="Calibri" w:cs="Calibri" w:eastAsia="Calibri" w:hAnsi="Calibri"/>
                <w:b w:val="false"/>
                <w:bCs w:val="false"/>
                <w:color w:val="12212E"/>
                <w:sz w:val="19"/>
                <w:szCs w:val="19"/>
              </w:rPr>
              <w:t xml:space="preserve">Nobody — complete</w:t>
            </w:r>
          </w:p>
        </w:tc>
      </w:tr>
      <w:tr>
        <w:trPr>
          <w:tblHeader w:val="false"/>
        </w:trPr>
        <w:tc>
          <w:tcPr>
            <w:tcW w:type="dxa" w:w="900"/>
            <w:tcMar>
              <w:top w:type="dxa" w:w="80"/>
              <w:left w:type="dxa" w:w="120"/>
              <w:bottom w:type="dxa" w:w="80"/>
              <w:right w:type="dxa" w:w="120"/>
            </w:tcMar>
          </w:tcPr>
          <w:p>
            <w:r>
              <w:rPr>
                <w:rFonts w:ascii="Calibri" w:cs="Calibri" w:eastAsia="Calibri" w:hAnsi="Calibri"/>
                <w:b/>
                <w:bCs/>
                <w:color w:val="A66A00"/>
                <w:sz w:val="19"/>
                <w:szCs w:val="19"/>
              </w:rPr>
              <w:t xml:space="preserve">B</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Implemented, needs verification</w:t>
            </w:r>
          </w:p>
        </w:tc>
        <w:tc>
          <w:tcPr>
            <w:tcW w:type="dxa" w:w="5526"/>
            <w:tcMar>
              <w:top w:type="dxa" w:w="80"/>
              <w:left w:type="dxa" w:w="120"/>
              <w:bottom w:type="dxa" w:w="80"/>
              <w:right w:type="dxa" w:w="120"/>
            </w:tcMar>
          </w:tcPr>
          <w:p>
            <w:r>
              <w:rPr>
                <w:rFonts w:ascii="Calibri" w:cs="Calibri" w:eastAsia="Calibri" w:hAnsi="Calibri"/>
                <w:b w:val="false"/>
                <w:bCs w:val="false"/>
                <w:color w:val="12212E"/>
                <w:sz w:val="19"/>
                <w:szCs w:val="19"/>
              </w:rPr>
              <w:t xml:space="preserve">Us, against the live dashboards</w:t>
            </w:r>
          </w:p>
        </w:tc>
      </w:tr>
      <w:tr>
        <w:trPr>
          <w:tblHeader w:val="false"/>
        </w:trPr>
        <w:tc>
          <w:tcPr>
            <w:tcW w:type="dxa" w:w="900"/>
            <w:tcMar>
              <w:top w:type="dxa" w:w="80"/>
              <w:left w:type="dxa" w:w="120"/>
              <w:bottom w:type="dxa" w:w="80"/>
              <w:right w:type="dxa" w:w="120"/>
            </w:tcMar>
          </w:tcPr>
          <w:p>
            <w:r>
              <w:rPr>
                <w:rFonts w:ascii="Calibri" w:cs="Calibri" w:eastAsia="Calibri" w:hAnsi="Calibri"/>
                <w:b/>
                <w:bCs/>
                <w:color w:val="B3392E"/>
                <w:sz w:val="19"/>
                <w:szCs w:val="19"/>
              </w:rPr>
              <w:t xml:space="preserve">C</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Not yet implemented</w:t>
            </w:r>
          </w:p>
        </w:tc>
        <w:tc>
          <w:tcPr>
            <w:tcW w:type="dxa" w:w="5526"/>
            <w:tcMar>
              <w:top w:type="dxa" w:w="80"/>
              <w:left w:type="dxa" w:w="120"/>
              <w:bottom w:type="dxa" w:w="80"/>
              <w:right w:type="dxa" w:w="120"/>
            </w:tcMar>
          </w:tcPr>
          <w:p>
            <w:r>
              <w:rPr>
                <w:rFonts w:ascii="Calibri" w:cs="Calibri" w:eastAsia="Calibri" w:hAnsi="Calibri"/>
                <w:b w:val="false"/>
                <w:bCs w:val="false"/>
                <w:color w:val="12212E"/>
                <w:sz w:val="19"/>
                <w:szCs w:val="19"/>
              </w:rPr>
              <w:t xml:space="preserve">Development work, to be scoped</w:t>
            </w:r>
          </w:p>
        </w:tc>
      </w:tr>
      <w:tr>
        <w:trPr>
          <w:tblHeader w:val="false"/>
        </w:trPr>
        <w:tc>
          <w:tcPr>
            <w:tcW w:type="dxa" w:w="900"/>
            <w:tcMar>
              <w:top w:type="dxa" w:w="80"/>
              <w:left w:type="dxa" w:w="120"/>
              <w:bottom w:type="dxa" w:w="80"/>
              <w:right w:type="dxa" w:w="120"/>
            </w:tcMar>
          </w:tcPr>
          <w:p>
            <w:r>
              <w:rPr>
                <w:rFonts w:ascii="Calibri" w:cs="Calibri" w:eastAsia="Calibri" w:hAnsi="Calibri"/>
                <w:b/>
                <w:bCs/>
                <w:color w:val="5B6472"/>
                <w:sz w:val="19"/>
                <w:szCs w:val="19"/>
              </w:rPr>
              <w:t xml:space="preserve">D</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Requires your action</w:t>
            </w:r>
          </w:p>
        </w:tc>
        <w:tc>
          <w:tcPr>
            <w:tcW w:type="dxa" w:w="5526"/>
            <w:tcMar>
              <w:top w:type="dxa" w:w="80"/>
              <w:left w:type="dxa" w:w="120"/>
              <w:bottom w:type="dxa" w:w="80"/>
              <w:right w:type="dxa" w:w="120"/>
            </w:tcMar>
          </w:tcPr>
          <w:p>
            <w:r>
              <w:rPr>
                <w:rFonts w:ascii="Calibri" w:cs="Calibri" w:eastAsia="Calibri" w:hAnsi="Calibri"/>
                <w:b w:val="false"/>
                <w:bCs w:val="false"/>
                <w:color w:val="12212E"/>
                <w:sz w:val="19"/>
                <w:szCs w:val="19"/>
              </w:rPr>
              <w:t xml:space="preserve">NoteMD or the provider — cannot be resolved in code</w:t>
            </w:r>
          </w:p>
        </w:tc>
      </w:tr>
    </w:tbl>
    <w:p>
      <w:pPr>
        <w:pBdr>
          <w:bottom w:val="single" w:color="DCE5EC" w:sz="6" w:space="1"/>
        </w:pBdr>
        <w:spacing w:after="200" w:before="200"/>
      </w:pPr>
    </w:p>
    <w:p>
      <w:pPr>
        <w:pStyle w:val="Heading2"/>
        <w:spacing w:after="120" w:before="260"/>
      </w:pPr>
      <w:r>
        <w:rPr>
          <w:rFonts w:ascii="Calibri" w:cs="Calibri" w:eastAsia="Calibri" w:hAnsi="Calibri"/>
          <w:b/>
          <w:bCs/>
          <w:color w:val="12212E"/>
          <w:sz w:val="24"/>
          <w:szCs w:val="24"/>
        </w:rPr>
        <w:t xml:space="preserve">Summary</w:t>
      </w:r>
    </w:p>
    <w:p>
      <w:pPr>
        <w:spacing w:after="120"/>
      </w:pPr>
      <w:r>
        <w:rPr>
          <w:rFonts w:ascii="Calibri" w:cs="Calibri" w:eastAsia="Calibri" w:hAnsi="Calibri"/>
          <w:b/>
          <w:bCs/>
          <w:i w:val="false"/>
          <w:iCs w:val="false"/>
          <w:color w:val="12212E"/>
          <w:sz w:val="21"/>
          <w:szCs w:val="21"/>
        </w:rPr>
        <w:t xml:space="preserve">The platform is in a stronger position than the request may anticipate, with one significant exception.</w:t>
      </w:r>
    </w:p>
    <w:p>
      <w:pPr>
        <w:pStyle w:val="ListParagraph"/>
        <w:numPr>
          <w:ilvl w:val="0"/>
          <w:numId w:val="1"/>
        </w:numPr>
        <w:spacing w:after="60"/>
      </w:pPr>
      <w:r>
        <w:rPr>
          <w:rFonts w:ascii="Calibri" w:cs="Calibri" w:eastAsia="Calibri" w:hAnsi="Calibri"/>
          <w:color w:val="12212E"/>
          <w:sz w:val="21"/>
          <w:szCs w:val="21"/>
        </w:rPr>
        <w:t xml:space="preserve">All patient data at rest — database, audio storage, authentication — is held in the EU (Ireland). No migration is required.</w:t>
      </w:r>
    </w:p>
    <w:p>
      <w:pPr>
        <w:pStyle w:val="ListParagraph"/>
        <w:numPr>
          <w:ilvl w:val="0"/>
          <w:numId w:val="1"/>
        </w:numPr>
        <w:spacing w:after="60"/>
      </w:pPr>
      <w:r>
        <w:rPr>
          <w:rFonts w:ascii="Calibri" w:cs="Calibri" w:eastAsia="Calibri" w:hAnsi="Calibri"/>
          <w:color w:val="12212E"/>
          <w:sz w:val="21"/>
          <w:szCs w:val="21"/>
        </w:rPr>
        <w:t xml:space="preserve">Real-time transcription was moved to an EU endpoint and verified as processing in Frankfurt.</w:t>
      </w:r>
    </w:p>
    <w:p>
      <w:pPr>
        <w:pStyle w:val="ListParagraph"/>
        <w:numPr>
          <w:ilvl w:val="0"/>
          <w:numId w:val="1"/>
        </w:numPr>
        <w:spacing w:after="60"/>
      </w:pPr>
      <w:r>
        <w:rPr>
          <w:rFonts w:ascii="Calibri" w:cs="Calibri" w:eastAsia="Calibri" w:hAnsi="Calibri"/>
          <w:color w:val="12212E"/>
          <w:sz w:val="21"/>
          <w:szCs w:val="21"/>
        </w:rPr>
        <w:t xml:space="preserve">Retention, erasure, export and audit logging are implemented, along with tenant isolation enforced at the database level.</w:t>
      </w:r>
    </w:p>
    <w:p>
      <w:pPr>
        <w:pStyle w:val="ListParagraph"/>
        <w:numPr>
          <w:ilvl w:val="0"/>
          <w:numId w:val="1"/>
        </w:numPr>
        <w:spacing w:after="60"/>
      </w:pPr>
      <w:r>
        <w:rPr>
          <w:rFonts w:ascii="Calibri" w:cs="Calibri" w:eastAsia="Calibri" w:hAnsi="Calibri"/>
          <w:color w:val="12212E"/>
          <w:sz w:val="21"/>
          <w:szCs w:val="21"/>
        </w:rPr>
        <w:t xml:space="preserve">No analytics or telemetry service is present anywhere in the application.</w:t>
      </w:r>
    </w:p>
    <w:p>
      <w:pPr>
        <w:spacing w:after="60"/>
      </w:pPr>
    </w:p>
    <w:p>
      <w:pPr>
        <w:spacing w:after="140"/>
      </w:pPr>
      <w:r>
        <w:rPr>
          <w:rFonts w:ascii="Calibri" w:cs="Calibri" w:eastAsia="Calibri" w:hAnsi="Calibri"/>
          <w:b/>
          <w:bCs/>
          <w:color w:val="B3392E"/>
          <w:sz w:val="21"/>
          <w:szCs w:val="21"/>
        </w:rPr>
        <w:t xml:space="preserve">The exception: </w:t>
      </w:r>
      <w:r>
        <w:rPr>
          <w:rFonts w:ascii="Calibri" w:cs="Calibri" w:eastAsia="Calibri" w:hAnsi="Calibri"/>
          <w:color w:val="12212E"/>
          <w:sz w:val="21"/>
          <w:szCs w:val="21"/>
        </w:rPr>
        <w:t xml:space="preserve">transcripts and patient identifiers are sent to OpenAI, which is currently served globally. This is the only route by which patient data leaves the EEA, and it is the single most important item to close. The application is already built to switch to an EU-resident OpenAI project through one configuration change — the outstanding step is enabling that project and Zero Data Retention on the OpenAI account, which sits with NoteMD and has external lead time.</w:t>
      </w:r>
    </w:p>
    <w:p>
      <w:r>
        <w:br w:type="page"/>
      </w:r>
    </w:p>
    <w:p>
      <w:pPr>
        <w:pStyle w:val="Heading1"/>
        <w:spacing w:after="160" w:before="360"/>
      </w:pPr>
      <w:r>
        <w:rPr>
          <w:rFonts w:ascii="Calibri" w:cs="Calibri" w:eastAsia="Calibri" w:hAnsi="Calibri"/>
          <w:b/>
          <w:bCs/>
          <w:color w:val="14315C"/>
          <w:sz w:val="30"/>
          <w:szCs w:val="30"/>
        </w:rPr>
        <w:t xml:space="preserve">1. System architecture and data-flow diagram</w:t>
      </w:r>
    </w:p>
    <w:p>
      <w:pPr>
        <w:pBdr>
          <w:left w:val="single" w:color="C3D1DC" w:sz="12" w:space="8"/>
        </w:pBdr>
        <w:spacing w:after="140"/>
        <w:ind w:left="240"/>
      </w:pPr>
      <w:r>
        <w:rPr>
          <w:rFonts w:ascii="Calibri" w:cs="Calibri" w:eastAsia="Calibri" w:hAnsi="Calibri"/>
          <w:i/>
          <w:iCs/>
          <w:color w:val="7C8C9C"/>
          <w:sz w:val="19"/>
          <w:szCs w:val="19"/>
        </w:rPr>
        <w:t xml:space="preserve">Please provide a schematic diagram showing the complete current production architecture… Please show exactly how data moves between these systems.</w:t>
      </w:r>
    </w:p>
    <w:p>
      <w:pPr>
        <w:spacing w:after="120"/>
      </w:pPr>
      <w:r>
        <w:rPr>
          <w:rFonts w:ascii="Calibri" w:cs="Calibri" w:eastAsia="Calibri" w:hAnsi="Calibri"/>
          <w:b w:val="false"/>
          <w:bCs w:val="false"/>
          <w:i w:val="false"/>
          <w:iCs w:val="false"/>
          <w:color w:val="12212E"/>
          <w:sz w:val="21"/>
          <w:szCs w:val="21"/>
        </w:rPr>
        <w:t xml:space="preserve">A data-flow diagram is supplied as a separate document. It is drawn around an explicit EEA boundary so the single crossing point is visible at a glance.</w:t>
      </w:r>
    </w:p>
    <w:p>
      <w:pPr>
        <w:spacing w:after="60" w:before="100"/>
      </w:pPr>
      <w:r>
        <w:rPr>
          <w:rFonts w:ascii="Calibri" w:cs="Calibri" w:eastAsia="Calibri" w:hAnsi="Calibri"/>
          <w:b/>
          <w:bCs/>
          <w:caps/>
          <w:color w:val="0C7D72"/>
          <w:sz w:val="19"/>
          <w:szCs w:val="19"/>
        </w:rPr>
        <w:t xml:space="preserve">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2026"/>
        <w:gridCol w:w="1500"/>
      </w:tblGrid>
      <w:tr>
        <w:trPr>
          <w:tblHeader/>
        </w:trPr>
        <w:tc>
          <w:tcPr>
            <w:tcW w:type="dxa" w:w="21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Layer</w:t>
            </w:r>
          </w:p>
        </w:tc>
        <w:tc>
          <w:tcPr>
            <w:tcW w:type="dxa" w:w="3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Technology</w:t>
            </w:r>
          </w:p>
        </w:tc>
        <w:tc>
          <w:tcPr>
            <w:tcW w:type="dxa" w:w="20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Region</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Frontend</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React SPA, static bundle</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Render — to confirm</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Authentication</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Auth, JWT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eu-west-1 Ireland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Backend / API</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Edge Functions (11)</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eu-west-1 Ireland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Database</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PostgreSQL 15</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eu-west-1 Ireland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Audio storage</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Storage, private bucket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eu-west-1 Ireland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Live transcription</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Deepgram streaming API</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eu-central-1 Frankfurt</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Transcription / letters</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OpenAI</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Global</w:t>
            </w:r>
          </w:p>
        </w:tc>
        <w:tc>
          <w:tcPr>
            <w:tcW w:type="dxa" w:w="1500"/>
            <w:tcMar>
              <w:top w:type="dxa" w:w="80"/>
              <w:left w:type="dxa" w:w="120"/>
              <w:bottom w:type="dxa" w:w="80"/>
              <w:right w:type="dxa" w:w="120"/>
            </w:tcMar>
          </w:tcPr>
          <w:p>
            <w:r>
              <w:rPr>
                <w:rFonts w:ascii="Calibri" w:cs="Calibri" w:eastAsia="Calibri" w:hAnsi="Calibri"/>
                <w:b/>
                <w:bCs/>
                <w:color w:val="5B6472"/>
                <w:sz w:val="19"/>
                <w:szCs w:val="19"/>
              </w:rPr>
              <w:t xml:space="preserve">D</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Email</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Resend</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To confirm</w:t>
            </w:r>
          </w:p>
        </w:tc>
        <w:tc>
          <w:tcPr>
            <w:tcW w:type="dxa" w:w="1500"/>
            <w:tcMar>
              <w:top w:type="dxa" w:w="80"/>
              <w:left w:type="dxa" w:w="120"/>
              <w:bottom w:type="dxa" w:w="80"/>
              <w:right w:type="dxa" w:w="120"/>
            </w:tcMar>
          </w:tcPr>
          <w:p>
            <w:r>
              <w:rPr>
                <w:rFonts w:ascii="Calibri" w:cs="Calibri" w:eastAsia="Calibri" w:hAnsi="Calibri"/>
                <w:b/>
                <w:bCs/>
                <w:color w:val="5B6472"/>
                <w:sz w:val="19"/>
                <w:szCs w:val="19"/>
              </w:rPr>
              <w:t xml:space="preserve">D</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Billing</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Stripe</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Global — no patient data</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Legacy ASR (idle)</w:t>
            </w:r>
          </w:p>
        </w:tc>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Google Cloud Run</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us-east4 Virginia</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bl>
    <w:p>
      <w:pPr>
        <w:spacing w:after="60" w:before="100"/>
      </w:pPr>
      <w:r>
        <w:rPr>
          <w:rFonts w:ascii="Calibri" w:cs="Calibri" w:eastAsia="Calibri" w:hAnsi="Calibri"/>
          <w:b/>
          <w:bCs/>
          <w:caps/>
          <w:color w:val="0C7D72"/>
          <w:sz w:val="19"/>
          <w:szCs w:val="19"/>
        </w:rPr>
        <w:t xml:space="preserve">Consultation flow</w:t>
      </w:r>
    </w:p>
    <w:p>
      <w:pPr>
        <w:pStyle w:val="ListParagraph"/>
        <w:numPr>
          <w:ilvl w:val="0"/>
          <w:numId w:val="1"/>
        </w:numPr>
        <w:spacing w:after="60"/>
      </w:pPr>
      <w:r>
        <w:rPr>
          <w:rFonts w:ascii="Calibri" w:cs="Calibri" w:eastAsia="Calibri" w:hAnsi="Calibri"/>
          <w:color w:val="12212E"/>
          <w:sz w:val="21"/>
          <w:szCs w:val="21"/>
        </w:rPr>
        <w:t xml:space="preserve">The clinician signs in; Supabase Auth issues a JWT.</w:t>
      </w:r>
    </w:p>
    <w:p>
      <w:pPr>
        <w:pStyle w:val="ListParagraph"/>
        <w:numPr>
          <w:ilvl w:val="0"/>
          <w:numId w:val="1"/>
        </w:numPr>
        <w:spacing w:after="60"/>
      </w:pPr>
      <w:r>
        <w:rPr>
          <w:rFonts w:ascii="Calibri" w:cs="Calibri" w:eastAsia="Calibri" w:hAnsi="Calibri"/>
          <w:color w:val="12212E"/>
          <w:sz w:val="21"/>
          <w:szCs w:val="21"/>
        </w:rPr>
        <w:t xml:space="preserve">Audio is captured in the browser and held in memory.</w:t>
      </w:r>
    </w:p>
    <w:p>
      <w:pPr>
        <w:pStyle w:val="ListParagraph"/>
        <w:numPr>
          <w:ilvl w:val="0"/>
          <w:numId w:val="1"/>
        </w:numPr>
        <w:spacing w:after="60"/>
      </w:pPr>
      <w:r>
        <w:rPr>
          <w:rFonts w:ascii="Calibri" w:cs="Calibri" w:eastAsia="Calibri" w:hAnsi="Calibri"/>
          <w:color w:val="12212E"/>
          <w:sz w:val="21"/>
          <w:szCs w:val="21"/>
        </w:rPr>
        <w:t xml:space="preserve">A short-lived streaming credential is minted server-side and returned with the EU endpoint.</w:t>
      </w:r>
    </w:p>
    <w:p>
      <w:pPr>
        <w:pStyle w:val="ListParagraph"/>
        <w:numPr>
          <w:ilvl w:val="0"/>
          <w:numId w:val="1"/>
        </w:numPr>
        <w:spacing w:after="60"/>
      </w:pPr>
      <w:r>
        <w:rPr>
          <w:rFonts w:ascii="Calibri" w:cs="Calibri" w:eastAsia="Calibri" w:hAnsi="Calibri"/>
          <w:color w:val="12212E"/>
          <w:sz w:val="21"/>
          <w:szCs w:val="21"/>
        </w:rPr>
        <w:t xml:space="preserve">Audio streams directly from the browser to Deepgram in Frankfurt; interim and final transcript return.</w:t>
      </w:r>
    </w:p>
    <w:p>
      <w:pPr>
        <w:pStyle w:val="ListParagraph"/>
        <w:numPr>
          <w:ilvl w:val="0"/>
          <w:numId w:val="1"/>
        </w:numPr>
        <w:spacing w:after="60"/>
      </w:pPr>
      <w:r>
        <w:rPr>
          <w:rFonts w:ascii="Calibri" w:cs="Calibri" w:eastAsia="Calibri" w:hAnsi="Calibri"/>
          <w:color w:val="12212E"/>
          <w:sz w:val="21"/>
          <w:szCs w:val="21"/>
        </w:rPr>
        <w:t xml:space="preserve">The transcript autosaves to the database roughly every 15 seconds.</w:t>
      </w:r>
    </w:p>
    <w:p>
      <w:pPr>
        <w:pStyle w:val="ListParagraph"/>
        <w:numPr>
          <w:ilvl w:val="0"/>
          <w:numId w:val="1"/>
        </w:numPr>
        <w:spacing w:after="60"/>
      </w:pPr>
      <w:r>
        <w:rPr>
          <w:rFonts w:ascii="Calibri" w:cs="Calibri" w:eastAsia="Calibri" w:hAnsi="Calibri"/>
          <w:color w:val="12212E"/>
          <w:sz w:val="21"/>
          <w:szCs w:val="21"/>
        </w:rPr>
        <w:t xml:space="preserve">The clinician reviews and edits the transcript on screen.</w:t>
      </w:r>
    </w:p>
    <w:p>
      <w:pPr>
        <w:pStyle w:val="ListParagraph"/>
        <w:numPr>
          <w:ilvl w:val="0"/>
          <w:numId w:val="1"/>
        </w:numPr>
        <w:spacing w:after="60"/>
      </w:pPr>
      <w:r>
        <w:rPr>
          <w:rFonts w:ascii="Calibri" w:cs="Calibri" w:eastAsia="Calibri" w:hAnsi="Calibri"/>
          <w:color w:val="12212E"/>
          <w:sz w:val="21"/>
          <w:szCs w:val="21"/>
        </w:rPr>
        <w:t xml:space="preserve">On generation, audio is uploaded to storage and the transcript plus patient identifiers are sent to OpenAI; the returned letter is stored in the database.</w:t>
      </w:r>
    </w:p>
    <w:p>
      <w:pPr>
        <w:pStyle w:val="ListParagraph"/>
        <w:numPr>
          <w:ilvl w:val="0"/>
          <w:numId w:val="1"/>
        </w:numPr>
        <w:spacing w:after="60"/>
      </w:pPr>
      <w:r>
        <w:rPr>
          <w:rFonts w:ascii="Calibri" w:cs="Calibri" w:eastAsia="Calibri" w:hAnsi="Calibri"/>
          <w:color w:val="12212E"/>
          <w:sz w:val="21"/>
          <w:szCs w:val="21"/>
        </w:rPr>
        <w:t xml:space="preserve">Optionally the letter is emailed via Resend.</w:t>
      </w:r>
    </w:p>
    <w:p>
      <w:pPr>
        <w:spacing w:after="60" w:before="100"/>
      </w:pPr>
      <w:r>
        <w:rPr>
          <w:rFonts w:ascii="Calibri" w:cs="Calibri" w:eastAsia="Calibri" w:hAnsi="Calibri"/>
          <w:b/>
          <w:bCs/>
          <w:caps/>
          <w:color w:val="0C7D72"/>
          <w:sz w:val="19"/>
          <w:szCs w:val="19"/>
        </w:rPr>
        <w:t xml:space="preserve">Dictation flow (enhanced engine)</w:t>
      </w:r>
    </w:p>
    <w:p>
      <w:pPr>
        <w:spacing w:after="120"/>
      </w:pPr>
      <w:r>
        <w:rPr>
          <w:rFonts w:ascii="Calibri" w:cs="Calibri" w:eastAsia="Calibri" w:hAnsi="Calibri"/>
          <w:b w:val="false"/>
          <w:bCs w:val="false"/>
          <w:i w:val="false"/>
          <w:iCs w:val="false"/>
          <w:color w:val="12212E"/>
          <w:sz w:val="21"/>
          <w:szCs w:val="21"/>
        </w:rPr>
        <w:t xml:space="preserve">Deepgram is not used. Audio is captured in ten-second segments, each transcribed by OpenAI, with text appended to the on-screen transcript. Letter generation then proceeds as above.</w:t>
      </w:r>
    </w:p>
    <w:p>
      <w:pPr>
        <w:spacing w:after="60" w:before="100"/>
      </w:pPr>
      <w:r>
        <w:rPr>
          <w:rFonts w:ascii="Calibri" w:cs="Calibri" w:eastAsia="Calibri" w:hAnsi="Calibri"/>
          <w:b/>
          <w:bCs/>
          <w:caps/>
          <w:color w:val="0C7D72"/>
          <w:sz w:val="19"/>
          <w:szCs w:val="19"/>
        </w:rPr>
        <w:t xml:space="preserve">Transcript integrity</w:t>
      </w:r>
    </w:p>
    <w:p>
      <w:pPr>
        <w:spacing w:after="120"/>
      </w:pPr>
      <w:r>
        <w:rPr>
          <w:rFonts w:ascii="Calibri" w:cs="Calibri" w:eastAsia="Calibri" w:hAnsi="Calibri"/>
          <w:color w:val="12212E"/>
          <w:sz w:val="21"/>
          <w:szCs w:val="21"/>
        </w:rPr>
        <w:t xml:space="preserve">A transcript shown on the review screen is marked authoritative, and the server will not re-run speech recognition over it. The letter is therefore generated from exactly the words the clinician read and approved. This is covered by automated tests across every mode and engine combination.  </w:t>
      </w:r>
      <w:r>
        <w:rPr>
          <w:rFonts w:ascii="Calibri" w:cs="Calibri" w:eastAsia="Calibri" w:hAnsi="Calibri"/>
          <w:b/>
          <w:bCs/>
          <w:color w:val="1B7F4D"/>
          <w:sz w:val="21"/>
          <w:szCs w:val="21"/>
        </w:rPr>
        <w:t xml:space="preserve">[A]</w:t>
      </w:r>
    </w:p>
    <w:p>
      <w:pPr>
        <w:pStyle w:val="Heading1"/>
        <w:spacing w:after="160" w:before="360"/>
      </w:pPr>
      <w:r>
        <w:rPr>
          <w:rFonts w:ascii="Calibri" w:cs="Calibri" w:eastAsia="Calibri" w:hAnsi="Calibri"/>
          <w:b/>
          <w:bCs/>
          <w:color w:val="14315C"/>
          <w:sz w:val="30"/>
          <w:szCs w:val="30"/>
        </w:rPr>
        <w:t xml:space="preserve">2. Data inventory</w:t>
      </w:r>
    </w:p>
    <w:p>
      <w:pPr>
        <w:pBdr>
          <w:left w:val="single" w:color="C3D1DC" w:sz="12" w:space="8"/>
        </w:pBdr>
        <w:spacing w:after="140"/>
        <w:ind w:left="240"/>
      </w:pPr>
      <w:r>
        <w:rPr>
          <w:rFonts w:ascii="Calibri" w:cs="Calibri" w:eastAsia="Calibri" w:hAnsi="Calibri"/>
          <w:i/>
          <w:iCs/>
          <w:color w:val="7C8C9C"/>
          <w:sz w:val="19"/>
          <w:szCs w:val="19"/>
        </w:rPr>
        <w:t xml:space="preserve">Please provide a list of all data NoteMD currently collects or processes… Please identify where each type of data is stored and when/how it is deleted.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100"/>
        <w:gridCol w:w="2026"/>
      </w:tblGrid>
      <w:tr>
        <w:trPr>
          <w:tblHeader/>
        </w:trPr>
        <w:tc>
          <w:tcPr>
            <w:tcW w:type="dxa" w:w="23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Data</w:t>
            </w:r>
          </w:p>
        </w:tc>
        <w:tc>
          <w:tcPr>
            <w:tcW w:type="dxa" w:w="26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Stored where</w:t>
            </w:r>
          </w:p>
        </w:tc>
        <w:tc>
          <w:tcPr>
            <w:tcW w:type="dxa" w:w="21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Retention</w:t>
            </w:r>
          </w:p>
        </w:tc>
        <w:tc>
          <w:tcPr>
            <w:tcW w:type="dxa" w:w="20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Deletion</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Patient audio</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Storage, private</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30 days, configurable</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Automated nightly purge</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Audio segments (dictation)</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Same bucket</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Same policy</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Same purge — to verify</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Transcripts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Database</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10 years (NHS default)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On instruction</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Generated letters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Database</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10 years (NHS default)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On instruction</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Patient identifiers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Database</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With parent record</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Cascade delete</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Clinician profile</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Database</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Life of account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Erasure function</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Login / account</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Auth</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Life of account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Admin API — no in-app flow</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Session tokens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Browser</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Until logout / expiry</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Cleared at sign-out</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Recovery snapshot</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Browser, per-user namespace</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24 hours maximum</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Purged at sign-out</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IP / device</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 logs</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 default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Platform-managed</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Application logs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logs</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 default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Platform-managed</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Audit records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Database, append-only</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Indefinite by design</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Retained — no clinical content</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Backups</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managed</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Plan-dependent</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To confirm</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Billing</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Stripe — no patient data</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Stripe policy</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Stripe-managed</w:t>
            </w:r>
          </w:p>
        </w:tc>
      </w:tr>
      <w:tr>
        <w:trPr>
          <w:tblHeader w:val="false"/>
        </w:trPr>
        <w:tc>
          <w:tcPr>
            <w:tcW w:type="dxa" w:w="2300"/>
            <w:tcMar>
              <w:top w:type="dxa" w:w="80"/>
              <w:left w:type="dxa" w:w="120"/>
              <w:bottom w:type="dxa" w:w="80"/>
              <w:right w:type="dxa" w:w="120"/>
            </w:tcMar>
          </w:tcPr>
          <w:p>
            <w:r>
              <w:rPr>
                <w:rFonts w:ascii="Calibri" w:cs="Calibri" w:eastAsia="Calibri" w:hAnsi="Calibri"/>
                <w:b w:val="false"/>
                <w:bCs w:val="false"/>
                <w:color w:val="12212E"/>
                <w:sz w:val="19"/>
                <w:szCs w:val="19"/>
              </w:rPr>
              <w:t xml:space="preserve">Analytics / telemetry</w:t>
            </w:r>
          </w:p>
        </w:tc>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None present</w:t>
            </w:r>
          </w:p>
        </w:tc>
        <w:tc>
          <w:tcPr>
            <w:tcW w:type="dxa" w:w="2100"/>
            <w:tcMar>
              <w:top w:type="dxa" w:w="80"/>
              <w:left w:type="dxa" w:w="120"/>
              <w:bottom w:type="dxa" w:w="80"/>
              <w:right w:type="dxa" w:w="120"/>
            </w:tcMar>
          </w:tcPr>
          <w:p>
            <w:r>
              <w:rPr>
                <w:rFonts w:ascii="Calibri" w:cs="Calibri" w:eastAsia="Calibri" w:hAnsi="Calibri"/>
                <w:b w:val="false"/>
                <w:bCs w:val="false"/>
                <w:color w:val="12212E"/>
                <w:sz w:val="19"/>
                <w:szCs w:val="19"/>
              </w:rPr>
              <w:t xml:space="preserve">n/a</w:t>
            </w:r>
          </w:p>
        </w:tc>
        <w:tc>
          <w:tcPr>
            <w:tcW w:type="dxa" w:w="2026"/>
            <w:tcMar>
              <w:top w:type="dxa" w:w="80"/>
              <w:left w:type="dxa" w:w="120"/>
              <w:bottom w:type="dxa" w:w="80"/>
              <w:right w:type="dxa" w:w="120"/>
            </w:tcMar>
          </w:tcPr>
          <w:p>
            <w:r>
              <w:rPr>
                <w:rFonts w:ascii="Calibri" w:cs="Calibri" w:eastAsia="Calibri" w:hAnsi="Calibri"/>
                <w:b w:val="false"/>
                <w:bCs w:val="false"/>
                <w:color w:val="12212E"/>
                <w:sz w:val="19"/>
                <w:szCs w:val="19"/>
              </w:rPr>
              <w:t xml:space="preserve">n/a</w:t>
            </w:r>
          </w:p>
        </w:tc>
      </w:tr>
    </w:tbl>
    <w:p>
      <w:pPr>
        <w:spacing w:after="80"/>
      </w:pPr>
    </w:p>
    <w:p>
      <w:pPr>
        <w:spacing w:after="120"/>
      </w:pPr>
      <w:r>
        <w:rPr>
          <w:rFonts w:ascii="Calibri" w:cs="Calibri" w:eastAsia="Calibri" w:hAnsi="Calibri"/>
          <w:color w:val="12212E"/>
          <w:sz w:val="21"/>
          <w:szCs w:val="21"/>
        </w:rPr>
        <w:t xml:space="preserve">We verified against the dependency tree that no analytics, telemetry or error-reporting service is integrated anywhere in the application.  </w:t>
      </w:r>
      <w:r>
        <w:rPr>
          <w:rFonts w:ascii="Calibri" w:cs="Calibri" w:eastAsia="Calibri" w:hAnsi="Calibri"/>
          <w:b/>
          <w:bCs/>
          <w:color w:val="1B7F4D"/>
          <w:sz w:val="21"/>
          <w:szCs w:val="21"/>
        </w:rPr>
        <w:t xml:space="preserve">[A]</w:t>
      </w:r>
    </w:p>
    <w:p>
      <w:pPr>
        <w:pStyle w:val="Heading1"/>
        <w:spacing w:after="160" w:before="360"/>
      </w:pPr>
      <w:r>
        <w:rPr>
          <w:rFonts w:ascii="Calibri" w:cs="Calibri" w:eastAsia="Calibri" w:hAnsi="Calibri"/>
          <w:b/>
          <w:bCs/>
          <w:color w:val="14315C"/>
          <w:sz w:val="30"/>
          <w:szCs w:val="30"/>
        </w:rPr>
        <w:t xml:space="preserve">3. Data residency</w:t>
      </w:r>
    </w:p>
    <w:p>
      <w:pPr>
        <w:pBdr>
          <w:left w:val="single" w:color="C3D1DC" w:sz="12" w:space="8"/>
        </w:pBdr>
        <w:spacing w:after="140"/>
        <w:ind w:left="240"/>
      </w:pPr>
      <w:r>
        <w:rPr>
          <w:rFonts w:ascii="Calibri" w:cs="Calibri" w:eastAsia="Calibri" w:hAnsi="Calibri"/>
          <w:i/>
          <w:iCs/>
          <w:color w:val="7C8C9C"/>
          <w:sz w:val="19"/>
          <w:szCs w:val="19"/>
        </w:rPr>
        <w:t xml:space="preserve">Please confirm the actual production region/configuration being used… Please specifically identify whether any patient data, audio, transcripts, prompts, generated letters, logs or backups can leave the UK/EEA.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526"/>
        <w:gridCol w:w="1500"/>
      </w:tblGrid>
      <w:tr>
        <w:trPr>
          <w:tblHeader/>
        </w:trPr>
        <w:tc>
          <w:tcPr>
            <w:tcW w:type="dxa" w:w="20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Provider</w:t>
            </w:r>
          </w:p>
        </w:tc>
        <w:tc>
          <w:tcPr>
            <w:tcW w:type="dxa" w:w="30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Region</w:t>
            </w:r>
          </w:p>
        </w:tc>
        <w:tc>
          <w:tcPr>
            <w:tcW w:type="dxa" w:w="25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Evidence</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w:t>
            </w:r>
          </w:p>
        </w:tc>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eu-west-1, Ireland</w:t>
            </w:r>
          </w:p>
        </w:tc>
        <w:tc>
          <w:tcPr>
            <w:tcW w:type="dxa" w:w="2526"/>
            <w:tcMar>
              <w:top w:type="dxa" w:w="80"/>
              <w:left w:type="dxa" w:w="120"/>
              <w:bottom w:type="dxa" w:w="80"/>
              <w:right w:type="dxa" w:w="120"/>
            </w:tcMar>
          </w:tcPr>
          <w:p>
            <w:r>
              <w:rPr>
                <w:rFonts w:ascii="Calibri" w:cs="Calibri" w:eastAsia="Calibri" w:hAnsi="Calibri"/>
                <w:b w:val="false"/>
                <w:bCs w:val="false"/>
                <w:color w:val="12212E"/>
                <w:sz w:val="19"/>
                <w:szCs w:val="19"/>
              </w:rPr>
              <w:t xml:space="preserve">Project configuration</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Deepgram</w:t>
            </w:r>
          </w:p>
        </w:tc>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eu-central-1, Frankfurt</w:t>
            </w:r>
          </w:p>
        </w:tc>
        <w:tc>
          <w:tcPr>
            <w:tcW w:type="dxa" w:w="2526"/>
            <w:tcMar>
              <w:top w:type="dxa" w:w="80"/>
              <w:left w:type="dxa" w:w="120"/>
              <w:bottom w:type="dxa" w:w="80"/>
              <w:right w:type="dxa" w:w="120"/>
            </w:tcMar>
          </w:tcPr>
          <w:p>
            <w:r>
              <w:rPr>
                <w:rFonts w:ascii="Calibri" w:cs="Calibri" w:eastAsia="Calibri" w:hAnsi="Calibri"/>
                <w:b w:val="false"/>
                <w:bCs w:val="false"/>
                <w:color w:val="12212E"/>
                <w:sz w:val="19"/>
                <w:szCs w:val="19"/>
              </w:rPr>
              <w:t xml:space="preserve">Live check returned HTTP 200 from the EU endpoint, 24 Aug 2026</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OpenAI</w:t>
            </w:r>
          </w:p>
        </w:tc>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Global</w:t>
            </w:r>
          </w:p>
        </w:tc>
        <w:tc>
          <w:tcPr>
            <w:tcW w:type="dxa" w:w="2526"/>
            <w:tcMar>
              <w:top w:type="dxa" w:w="80"/>
              <w:left w:type="dxa" w:w="120"/>
              <w:bottom w:type="dxa" w:w="80"/>
              <w:right w:type="dxa" w:w="120"/>
            </w:tcMar>
          </w:tcPr>
          <w:p>
            <w:r>
              <w:rPr>
                <w:rFonts w:ascii="Calibri" w:cs="Calibri" w:eastAsia="Calibri" w:hAnsi="Calibri"/>
                <w:b w:val="false"/>
                <w:bCs w:val="false"/>
                <w:color w:val="12212E"/>
                <w:sz w:val="19"/>
                <w:szCs w:val="19"/>
              </w:rPr>
              <w:t xml:space="preserve">EU-resident project not yet enabled</w:t>
            </w:r>
          </w:p>
        </w:tc>
        <w:tc>
          <w:tcPr>
            <w:tcW w:type="dxa" w:w="1500"/>
            <w:tcMar>
              <w:top w:type="dxa" w:w="80"/>
              <w:left w:type="dxa" w:w="120"/>
              <w:bottom w:type="dxa" w:w="80"/>
              <w:right w:type="dxa" w:w="120"/>
            </w:tcMar>
          </w:tcPr>
          <w:p>
            <w:r>
              <w:rPr>
                <w:rFonts w:ascii="Calibri" w:cs="Calibri" w:eastAsia="Calibri" w:hAnsi="Calibri"/>
                <w:b/>
                <w:bCs/>
                <w:color w:val="5B6472"/>
                <w:sz w:val="19"/>
                <w:szCs w:val="19"/>
              </w:rPr>
              <w:t xml:space="preserve">D</w:t>
            </w:r>
          </w:p>
        </w:tc>
      </w:tr>
      <w:tr>
        <w:trPr>
          <w:tblHeader w:val="false"/>
        </w:trPr>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Resend</w:t>
            </w:r>
          </w:p>
        </w:tc>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Unconfirmed</w:t>
            </w:r>
          </w:p>
        </w:tc>
        <w:tc>
          <w:tcPr>
            <w:tcW w:type="dxa" w:w="2526"/>
            <w:tcMar>
              <w:top w:type="dxa" w:w="80"/>
              <w:left w:type="dxa" w:w="120"/>
              <w:bottom w:type="dxa" w:w="80"/>
              <w:right w:type="dxa" w:w="120"/>
            </w:tcMar>
          </w:tcPr>
          <w:p>
            <w:r>
              <w:rPr>
                <w:rFonts w:ascii="Calibri" w:cs="Calibri" w:eastAsia="Calibri" w:hAnsi="Calibri"/>
                <w:b w:val="false"/>
                <w:bCs w:val="false"/>
                <w:color w:val="12212E"/>
                <w:sz w:val="19"/>
                <w:szCs w:val="19"/>
              </w:rPr>
              <w:t xml:space="preserve">Carries letters and transcripts</w:t>
            </w:r>
          </w:p>
        </w:tc>
        <w:tc>
          <w:tcPr>
            <w:tcW w:type="dxa" w:w="1500"/>
            <w:tcMar>
              <w:top w:type="dxa" w:w="80"/>
              <w:left w:type="dxa" w:w="120"/>
              <w:bottom w:type="dxa" w:w="80"/>
              <w:right w:type="dxa" w:w="120"/>
            </w:tcMar>
          </w:tcPr>
          <w:p>
            <w:r>
              <w:rPr>
                <w:rFonts w:ascii="Calibri" w:cs="Calibri" w:eastAsia="Calibri" w:hAnsi="Calibri"/>
                <w:b/>
                <w:bCs/>
                <w:color w:val="5B6472"/>
                <w:sz w:val="19"/>
                <w:szCs w:val="19"/>
              </w:rPr>
              <w:t xml:space="preserve">D</w:t>
            </w:r>
          </w:p>
        </w:tc>
      </w:tr>
      <w:tr>
        <w:trPr>
          <w:tblHeader w:val="false"/>
        </w:trPr>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Render</w:t>
            </w:r>
          </w:p>
        </w:tc>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Unconfirmed</w:t>
            </w:r>
          </w:p>
        </w:tc>
        <w:tc>
          <w:tcPr>
            <w:tcW w:type="dxa" w:w="2526"/>
            <w:tcMar>
              <w:top w:type="dxa" w:w="80"/>
              <w:left w:type="dxa" w:w="120"/>
              <w:bottom w:type="dxa" w:w="80"/>
              <w:right w:type="dxa" w:w="120"/>
            </w:tcMar>
          </w:tcPr>
          <w:p>
            <w:r>
              <w:rPr>
                <w:rFonts w:ascii="Calibri" w:cs="Calibri" w:eastAsia="Calibri" w:hAnsi="Calibri"/>
                <w:b w:val="false"/>
                <w:bCs w:val="false"/>
                <w:color w:val="12212E"/>
                <w:sz w:val="19"/>
                <w:szCs w:val="19"/>
              </w:rPr>
              <w:t xml:space="preserve">Static bundle only — no patient data at rest</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r>
        <w:trPr>
          <w:tblHeader w:val="false"/>
        </w:trPr>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Google Cloud Run</w:t>
            </w:r>
          </w:p>
        </w:tc>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us-east4, Virginia</w:t>
            </w:r>
          </w:p>
        </w:tc>
        <w:tc>
          <w:tcPr>
            <w:tcW w:type="dxa" w:w="2526"/>
            <w:tcMar>
              <w:top w:type="dxa" w:w="80"/>
              <w:left w:type="dxa" w:w="120"/>
              <w:bottom w:type="dxa" w:w="80"/>
              <w:right w:type="dxa" w:w="120"/>
            </w:tcMar>
          </w:tcPr>
          <w:p>
            <w:r>
              <w:rPr>
                <w:rFonts w:ascii="Calibri" w:cs="Calibri" w:eastAsia="Calibri" w:hAnsi="Calibri"/>
                <w:b w:val="false"/>
                <w:bCs w:val="false"/>
                <w:color w:val="12212E"/>
                <w:sz w:val="19"/>
                <w:szCs w:val="19"/>
              </w:rPr>
              <w:t xml:space="preserve">Idle — receives no traffic</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bl>
    <w:p>
      <w:pPr>
        <w:spacing w:after="100"/>
      </w:pPr>
    </w:p>
    <w:p>
      <w:pPr>
        <w:spacing w:after="140"/>
      </w:pPr>
      <w:r>
        <w:rPr>
          <w:rFonts w:ascii="Calibri" w:cs="Calibri" w:eastAsia="Calibri" w:hAnsi="Calibri"/>
          <w:b/>
          <w:bCs/>
          <w:color w:val="12212E"/>
          <w:sz w:val="21"/>
          <w:szCs w:val="21"/>
        </w:rPr>
        <w:t xml:space="preserve">Direct answer: </w:t>
      </w:r>
      <w:r>
        <w:rPr>
          <w:rFonts w:ascii="Calibri" w:cs="Calibri" w:eastAsia="Calibri" w:hAnsi="Calibri"/>
          <w:color w:val="12212E"/>
          <w:sz w:val="21"/>
          <w:szCs w:val="21"/>
        </w:rPr>
        <w:t xml:space="preserve">yes, patient data can currently leave the EEA, by one route only — OpenAI. Transcripts, patient identifiers and, in dictation, audio are transmitted there. All storage at rest remains in the EEA. Logs and backups remain in the EEA. Closing this requires the EU-resident OpenAI project.</w:t>
      </w:r>
    </w:p>
    <w:p>
      <w:pPr>
        <w:spacing w:after="120"/>
      </w:pPr>
      <w:r>
        <w:rPr>
          <w:rFonts w:ascii="Calibri" w:cs="Calibri" w:eastAsia="Calibri" w:hAnsi="Calibri"/>
          <w:b w:val="false"/>
          <w:bCs w:val="false"/>
          <w:i w:val="false"/>
          <w:iCs w:val="false"/>
          <w:color w:val="4A5C6E"/>
          <w:sz w:val="21"/>
          <w:szCs w:val="21"/>
        </w:rPr>
        <w:t xml:space="preserve">The UK treats the EEA as adequate, so EU processing satisfies a UK residency requirement. Confirm with individual trusts whether any mandate UK-only rather than UK/EEA.</w:t>
      </w:r>
    </w:p>
    <w:p>
      <w:pPr>
        <w:pStyle w:val="Heading1"/>
        <w:spacing w:after="160" w:before="360"/>
      </w:pPr>
      <w:r>
        <w:rPr>
          <w:rFonts w:ascii="Calibri" w:cs="Calibri" w:eastAsia="Calibri" w:hAnsi="Calibri"/>
          <w:b/>
          <w:bCs/>
          <w:color w:val="14315C"/>
          <w:sz w:val="30"/>
          <w:szCs w:val="30"/>
        </w:rPr>
        <w:t xml:space="preserve">4. Data minimisation and retention</w:t>
      </w:r>
    </w:p>
    <w:p>
      <w:pPr>
        <w:pBdr>
          <w:left w:val="single" w:color="C3D1DC" w:sz="12" w:space="8"/>
        </w:pBdr>
        <w:spacing w:after="140"/>
        <w:ind w:left="240"/>
      </w:pPr>
      <w:r>
        <w:rPr>
          <w:rFonts w:ascii="Calibri" w:cs="Calibri" w:eastAsia="Calibri" w:hAnsi="Calibri"/>
          <w:i/>
          <w:iCs/>
          <w:color w:val="7C8C9C"/>
          <w:sz w:val="19"/>
          <w:szCs w:val="19"/>
        </w:rPr>
        <w:t xml:space="preserve">Please ensure we retain the minimum amount of patient information necessary. Where technically possible, audio should be processed and automatically deleted after transcription…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2026"/>
      </w:tblGrid>
      <w:tr>
        <w:trPr>
          <w:tblHeader/>
        </w:trPr>
        <w:tc>
          <w:tcPr>
            <w:tcW w:type="dxa" w:w="26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Artefact</w:t>
            </w:r>
          </w:p>
        </w:tc>
        <w:tc>
          <w:tcPr>
            <w:tcW w:type="dxa" w:w="4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Rule</w:t>
            </w:r>
          </w:p>
        </w:tc>
        <w:tc>
          <w:tcPr>
            <w:tcW w:type="dxa" w:w="20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Audio</w:t>
            </w:r>
          </w:p>
        </w:tc>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Automatically deleted after 30 days; configurable 1–3650 per clinician</w:t>
            </w:r>
          </w:p>
        </w:tc>
        <w:tc>
          <w:tcPr>
            <w:tcW w:type="dxa" w:w="2026"/>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Transcripts and letters</w:t>
            </w:r>
          </w:p>
        </w:tc>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Retained per NHS records retention</w:t>
            </w:r>
          </w:p>
        </w:tc>
        <w:tc>
          <w:tcPr>
            <w:tcW w:type="dxa" w:w="2026"/>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Temporary files</w:t>
            </w:r>
          </w:p>
        </w:tc>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None written server-side; audio is streamed in memory</w:t>
            </w:r>
          </w:p>
        </w:tc>
        <w:tc>
          <w:tcPr>
            <w:tcW w:type="dxa" w:w="2026"/>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Browser storage</w:t>
            </w:r>
          </w:p>
        </w:tc>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Purged at sign-out</w:t>
            </w:r>
          </w:p>
        </w:tc>
        <w:tc>
          <w:tcPr>
            <w:tcW w:type="dxa" w:w="2026"/>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Logs</w:t>
            </w:r>
          </w:p>
        </w:tc>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 retention</w:t>
            </w:r>
          </w:p>
        </w:tc>
        <w:tc>
          <w:tcPr>
            <w:tcW w:type="dxa" w:w="2026"/>
            <w:tcMar>
              <w:top w:type="dxa" w:w="80"/>
              <w:left w:type="dxa" w:w="120"/>
              <w:bottom w:type="dxa" w:w="80"/>
              <w:right w:type="dxa" w:w="120"/>
            </w:tcMar>
          </w:tcPr>
          <w:p>
            <w:r>
              <w:rPr>
                <w:rFonts w:ascii="Calibri" w:cs="Calibri" w:eastAsia="Calibri" w:hAnsi="Calibri"/>
                <w:b/>
                <w:bCs/>
                <w:color w:val="A66A00"/>
                <w:sz w:val="19"/>
                <w:szCs w:val="19"/>
              </w:rPr>
              <w:t xml:space="preserve">B</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Backups</w:t>
            </w:r>
          </w:p>
        </w:tc>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Erased data persists until backups roll off</w:t>
            </w:r>
          </w:p>
        </w:tc>
        <w:tc>
          <w:tcPr>
            <w:tcW w:type="dxa" w:w="2026"/>
            <w:tcMar>
              <w:top w:type="dxa" w:w="80"/>
              <w:left w:type="dxa" w:w="120"/>
              <w:bottom w:type="dxa" w:w="80"/>
              <w:right w:type="dxa" w:w="120"/>
            </w:tcMar>
          </w:tcPr>
          <w:p>
            <w:r>
              <w:rPr>
                <w:rFonts w:ascii="Calibri" w:cs="Calibri" w:eastAsia="Calibri" w:hAnsi="Calibri"/>
                <w:b/>
                <w:bCs/>
                <w:color w:val="A66A00"/>
                <w:sz w:val="19"/>
                <w:szCs w:val="19"/>
              </w:rPr>
              <w:t xml:space="preserve">B</w:t>
            </w:r>
          </w:p>
        </w:tc>
      </w:tr>
    </w:tbl>
    <w:p>
      <w:pPr>
        <w:spacing w:after="100"/>
      </w:pPr>
    </w:p>
    <w:p>
      <w:pPr>
        <w:spacing w:after="60" w:before="100"/>
      </w:pPr>
      <w:r>
        <w:rPr>
          <w:rFonts w:ascii="Calibri" w:cs="Calibri" w:eastAsia="Calibri" w:hAnsi="Calibri"/>
          <w:b/>
          <w:bCs/>
          <w:caps/>
          <w:color w:val="0C7D72"/>
          <w:sz w:val="19"/>
          <w:szCs w:val="19"/>
        </w:rPr>
        <w:t xml:space="preserve">On deleting audio immediately</w:t>
      </w:r>
    </w:p>
    <w:p>
      <w:pPr>
        <w:spacing w:after="120"/>
      </w:pPr>
      <w:r>
        <w:rPr>
          <w:rFonts w:ascii="Calibri" w:cs="Calibri" w:eastAsia="Calibri" w:hAnsi="Calibri"/>
          <w:b w:val="false"/>
          <w:bCs w:val="false"/>
          <w:i w:val="false"/>
          <w:iCs w:val="false"/>
          <w:color w:val="12212E"/>
          <w:sz w:val="21"/>
          <w:szCs w:val="21"/>
        </w:rPr>
        <w:t xml:space="preserve">This is a one-line change to the retention default, and we can make it on request. Before doing so, note the trade-off: without the source audio the letter cannot be regenerated, a disputed transcript cannot be checked against what was said, and a clinical safety investigation has no primary record. Thirty days is our recommendation, but this is a clinical-safety decision for NoteMD rather than a technical one.</w:t>
      </w:r>
    </w:p>
    <w:p>
      <w:pPr>
        <w:pStyle w:val="Heading1"/>
        <w:spacing w:after="160" w:before="360"/>
      </w:pPr>
      <w:r>
        <w:rPr>
          <w:rFonts w:ascii="Calibri" w:cs="Calibri" w:eastAsia="Calibri" w:hAnsi="Calibri"/>
          <w:b/>
          <w:bCs/>
          <w:color w:val="14315C"/>
          <w:sz w:val="30"/>
          <w:szCs w:val="30"/>
        </w:rPr>
        <w:t xml:space="preserve">5. Logging</w:t>
      </w:r>
    </w:p>
    <w:p>
      <w:pPr>
        <w:pBdr>
          <w:left w:val="single" w:color="C3D1DC" w:sz="12" w:space="8"/>
        </w:pBdr>
        <w:spacing w:after="140"/>
        <w:ind w:left="240"/>
      </w:pPr>
      <w:r>
        <w:rPr>
          <w:rFonts w:ascii="Calibri" w:cs="Calibri" w:eastAsia="Calibri" w:hAnsi="Calibri"/>
          <w:i/>
          <w:iCs/>
          <w:color w:val="7C8C9C"/>
          <w:sz w:val="19"/>
          <w:szCs w:val="19"/>
        </w:rPr>
        <w:t xml:space="preserve">Please perform a complete review to ensure that patient-identifiable information, clinical transcripts, audio, prompts and generated letters are not accidentally written into application/server/debug/error logs.</w:t>
      </w:r>
    </w:p>
    <w:p>
      <w:pPr>
        <w:spacing w:after="60" w:before="100"/>
      </w:pPr>
      <w:r>
        <w:rPr>
          <w:rFonts w:ascii="Calibri" w:cs="Calibri" w:eastAsia="Calibri" w:hAnsi="Calibri"/>
          <w:b/>
          <w:bCs/>
          <w:caps/>
          <w:color w:val="0C7D72"/>
          <w:sz w:val="19"/>
          <w:szCs w:val="19"/>
        </w:rPr>
        <w:t xml:space="preserve">Finding, now fixed</w:t>
      </w:r>
    </w:p>
    <w:p>
      <w:pPr>
        <w:spacing w:after="120"/>
      </w:pPr>
      <w:r>
        <w:rPr>
          <w:rFonts w:ascii="Calibri" w:cs="Calibri" w:eastAsia="Calibri" w:hAnsi="Calibri"/>
          <w:color w:val="12212E"/>
          <w:sz w:val="21"/>
          <w:szCs w:val="21"/>
        </w:rPr>
        <w:t xml:space="preserve">One function logged the first eighty characters of every transcript to the server log. It was no longer called by the application but remained deployed as a live authenticated endpoint. It has been removed from the codebase; it must also be deleted in the Supabase dashboard.  </w:t>
      </w:r>
      <w:r>
        <w:rPr>
          <w:rFonts w:ascii="Calibri" w:cs="Calibri" w:eastAsia="Calibri" w:hAnsi="Calibri"/>
          <w:b/>
          <w:bCs/>
          <w:color w:val="5B6472"/>
          <w:sz w:val="21"/>
          <w:szCs w:val="21"/>
        </w:rPr>
        <w:t xml:space="preserve">[D]</w:t>
      </w:r>
    </w:p>
    <w:p>
      <w:pPr>
        <w:spacing w:after="60" w:before="100"/>
      </w:pPr>
      <w:r>
        <w:rPr>
          <w:rFonts w:ascii="Calibri" w:cs="Calibri" w:eastAsia="Calibri" w:hAnsi="Calibri"/>
          <w:b/>
          <w:bCs/>
          <w:caps/>
          <w:color w:val="0C7D72"/>
          <w:sz w:val="19"/>
          <w:szCs w:val="19"/>
        </w:rPr>
        <w:t xml:space="preserve">Current state</w:t>
      </w:r>
    </w:p>
    <w:p>
      <w:pPr>
        <w:spacing w:after="120"/>
      </w:pPr>
      <w:r>
        <w:rPr>
          <w:rFonts w:ascii="Calibri" w:cs="Calibri" w:eastAsia="Calibri" w:hAnsi="Calibri"/>
          <w:color w:val="12212E"/>
          <w:sz w:val="21"/>
          <w:szCs w:val="21"/>
        </w:rPr>
        <w:t xml:space="preserve">No function logs transcripts, letters or patient identifiers. Logging is limited to character counts, HTTP status codes, provider names and timings. We reviewed every logging statement across all eleven functions.  </w:t>
      </w:r>
      <w:r>
        <w:rPr>
          <w:rFonts w:ascii="Calibri" w:cs="Calibri" w:eastAsia="Calibri" w:hAnsi="Calibri"/>
          <w:b/>
          <w:bCs/>
          <w:color w:val="1B7F4D"/>
          <w:sz w:val="21"/>
          <w:szCs w:val="21"/>
        </w:rPr>
        <w:t xml:space="preserve">[A]</w:t>
      </w:r>
    </w:p>
    <w:p>
      <w:pPr>
        <w:spacing w:after="60" w:before="100"/>
      </w:pPr>
      <w:r>
        <w:rPr>
          <w:rFonts w:ascii="Calibri" w:cs="Calibri" w:eastAsia="Calibri" w:hAnsi="Calibri"/>
          <w:b/>
          <w:bCs/>
          <w:caps/>
          <w:color w:val="0C7D72"/>
          <w:sz w:val="19"/>
          <w:szCs w:val="19"/>
        </w:rPr>
        <w:t xml:space="preserve">Residual items</w:t>
      </w:r>
    </w:p>
    <w:p>
      <w:pPr>
        <w:spacing w:after="120"/>
      </w:pPr>
      <w:r>
        <w:rPr>
          <w:rFonts w:ascii="Calibri" w:cs="Calibri" w:eastAsia="Calibri" w:hAnsi="Calibri"/>
          <w:color w:val="12212E"/>
          <w:sz w:val="21"/>
          <w:szCs w:val="21"/>
        </w:rPr>
        <w:t xml:space="preserve">Failed vendor calls log up to 500 characters of the vendor's error response. A vendor that echoed submitted content in an error could place clinical text in a log. Low likelihood, non-zero — we recommend redacting these before logging.  </w:t>
      </w:r>
      <w:r>
        <w:rPr>
          <w:rFonts w:ascii="Calibri" w:cs="Calibri" w:eastAsia="Calibri" w:hAnsi="Calibri"/>
          <w:b/>
          <w:bCs/>
          <w:color w:val="B3392E"/>
          <w:sz w:val="21"/>
          <w:szCs w:val="21"/>
        </w:rPr>
        <w:t xml:space="preserve">[C]</w:t>
      </w:r>
    </w:p>
    <w:p>
      <w:pPr>
        <w:spacing w:after="120"/>
      </w:pPr>
      <w:r>
        <w:rPr>
          <w:rFonts w:ascii="Calibri" w:cs="Calibri" w:eastAsia="Calibri" w:hAnsi="Calibri"/>
          <w:color w:val="12212E"/>
          <w:sz w:val="21"/>
          <w:szCs w:val="21"/>
        </w:rPr>
        <w:t xml:space="preserve">Web fonts are loaded from Google's CDN, which transmits each clinician's IP address to Google in the United States on every page load. This is not patient data, but it is personal data, and a German court has held the practice unlawful without consent. Self-hosting the fonts removes the transfer entirely.  </w:t>
      </w:r>
      <w:r>
        <w:rPr>
          <w:rFonts w:ascii="Calibri" w:cs="Calibri" w:eastAsia="Calibri" w:hAnsi="Calibri"/>
          <w:b/>
          <w:bCs/>
          <w:color w:val="B3392E"/>
          <w:sz w:val="21"/>
          <w:szCs w:val="21"/>
        </w:rPr>
        <w:t xml:space="preserve">[C]</w:t>
      </w:r>
    </w:p>
    <w:p>
      <w:pPr>
        <w:pStyle w:val="Heading1"/>
        <w:spacing w:after="160" w:before="360"/>
      </w:pPr>
      <w:r>
        <w:rPr>
          <w:rFonts w:ascii="Calibri" w:cs="Calibri" w:eastAsia="Calibri" w:hAnsi="Calibri"/>
          <w:b/>
          <w:bCs/>
          <w:color w:val="14315C"/>
          <w:sz w:val="30"/>
          <w:szCs w:val="30"/>
        </w:rPr>
        <w:t xml:space="preserve">6. Authentication and access control</w:t>
      </w:r>
    </w:p>
    <w:p>
      <w:pPr>
        <w:pBdr>
          <w:left w:val="single" w:color="C3D1DC" w:sz="12" w:space="8"/>
        </w:pBdr>
        <w:spacing w:after="140"/>
        <w:ind w:left="240"/>
      </w:pPr>
      <w:r>
        <w:rPr>
          <w:rFonts w:ascii="Calibri" w:cs="Calibri" w:eastAsia="Calibri" w:hAnsi="Calibri"/>
          <w:i/>
          <w:iCs/>
          <w:color w:val="7C8C9C"/>
          <w:sz w:val="19"/>
          <w:szCs w:val="19"/>
        </w:rPr>
        <w:t xml:space="preserve">Please review and document… Please provide evidence/tests confirming that cross-user access is prevented.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126"/>
        <w:gridCol w:w="1500"/>
      </w:tblGrid>
      <w:tr>
        <w:trPr>
          <w:tblHeader/>
        </w:trPr>
        <w:tc>
          <w:tcPr>
            <w:tcW w:type="dxa" w:w="3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Control</w:t>
            </w:r>
          </w:p>
        </w:tc>
        <w:tc>
          <w:tcPr>
            <w:tcW w:type="dxa" w:w="41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Implementation</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Authentication</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Supabase Auth, email and password, bcrypt hashing</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Session management</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JWT with automatic refresh</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Row Level Security</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Enabled on all six tables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Tenant isolation</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Every table scoped by user identity</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File isolation</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Storage objects scoped to a per-user path prefix</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Role-based access</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Secretaries reach only their assigned clinician's records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Password change</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Available when signed in</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Password reset</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 forgotten-password flow exists</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Multi-factor authentication</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implemented; the platform supports TOTP</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Account revocation</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Dashboard only, no in-app flow</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Session timeout / idle lock</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implemented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bl>
    <w:p>
      <w:pPr>
        <w:spacing w:after="100"/>
      </w:pPr>
    </w:p>
    <w:p>
      <w:pPr>
        <w:spacing w:after="60" w:before="100"/>
      </w:pPr>
      <w:r>
        <w:rPr>
          <w:rFonts w:ascii="Calibri" w:cs="Calibri" w:eastAsia="Calibri" w:hAnsi="Calibri"/>
          <w:b/>
          <w:bCs/>
          <w:caps/>
          <w:color w:val="0C7D72"/>
          <w:sz w:val="19"/>
          <w:szCs w:val="19"/>
        </w:rPr>
        <w:t xml:space="preserve">Evidence on cross-user access</w:t>
      </w:r>
    </w:p>
    <w:p>
      <w:pPr>
        <w:spacing w:after="120"/>
      </w:pPr>
      <w:r>
        <w:rPr>
          <w:rFonts w:ascii="Calibri" w:cs="Calibri" w:eastAsia="Calibri" w:hAnsi="Calibri"/>
          <w:b w:val="false"/>
          <w:bCs w:val="false"/>
          <w:i w:val="false"/>
          <w:iCs w:val="false"/>
          <w:color w:val="12212E"/>
          <w:sz w:val="21"/>
          <w:szCs w:val="21"/>
        </w:rPr>
        <w:t xml:space="preserve">Isolation is enforced inside PostgreSQL rather than in application code. This matters: it cannot be bypassed by a malformed or hostile client request, because the database itself refuses to return another user's rows.</w:t>
      </w:r>
    </w:p>
    <w:p>
      <w:pPr>
        <w:spacing w:after="120"/>
      </w:pPr>
      <w:r>
        <w:rPr>
          <w:rFonts w:ascii="Calibri" w:cs="Calibri" w:eastAsia="Calibri" w:hAnsi="Calibri"/>
          <w:color w:val="12212E"/>
          <w:sz w:val="21"/>
          <w:szCs w:val="21"/>
        </w:rPr>
        <w:t xml:space="preserve">Automated tests currently prove browser-side isolation — specifically that a second clinician on a shared workstation cannot read the first clinician's cached patient data.  </w:t>
      </w:r>
      <w:r>
        <w:rPr>
          <w:rFonts w:ascii="Calibri" w:cs="Calibri" w:eastAsia="Calibri" w:hAnsi="Calibri"/>
          <w:b/>
          <w:bCs/>
          <w:color w:val="1B7F4D"/>
          <w:sz w:val="21"/>
          <w:szCs w:val="21"/>
        </w:rPr>
        <w:t xml:space="preserve">[A]</w:t>
      </w:r>
    </w:p>
    <w:p>
      <w:pPr>
        <w:spacing w:after="120"/>
      </w:pPr>
      <w:r>
        <w:rPr>
          <w:rFonts w:ascii="Calibri" w:cs="Calibri" w:eastAsia="Calibri" w:hAnsi="Calibri"/>
          <w:color w:val="12212E"/>
          <w:sz w:val="21"/>
          <w:szCs w:val="21"/>
        </w:rPr>
        <w:t xml:space="preserve">Automated cross-user tests against a live database are not yet written. We regard this as the single strongest addition to your DTAC evidence and recommend it be prioritised.  </w:t>
      </w:r>
      <w:r>
        <w:rPr>
          <w:rFonts w:ascii="Calibri" w:cs="Calibri" w:eastAsia="Calibri" w:hAnsi="Calibri"/>
          <w:b/>
          <w:bCs/>
          <w:color w:val="B3392E"/>
          <w:sz w:val="21"/>
          <w:szCs w:val="21"/>
        </w:rPr>
        <w:t xml:space="preserve">[C]</w:t>
      </w:r>
    </w:p>
    <w:p>
      <w:pPr>
        <w:pStyle w:val="Heading1"/>
        <w:spacing w:after="160" w:before="360"/>
      </w:pPr>
      <w:r>
        <w:rPr>
          <w:rFonts w:ascii="Calibri" w:cs="Calibri" w:eastAsia="Calibri" w:hAnsi="Calibri"/>
          <w:b/>
          <w:bCs/>
          <w:color w:val="14315C"/>
          <w:sz w:val="30"/>
          <w:szCs w:val="30"/>
        </w:rPr>
        <w:t xml:space="preserve">7. Encryption and secrets</w:t>
      </w:r>
    </w:p>
    <w:p>
      <w:pPr>
        <w:pBdr>
          <w:left w:val="single" w:color="C3D1DC" w:sz="12" w:space="8"/>
        </w:pBdr>
        <w:spacing w:after="140"/>
        <w:ind w:left="240"/>
      </w:pPr>
      <w:r>
        <w:rPr>
          <w:rFonts w:ascii="Calibri" w:cs="Calibri" w:eastAsia="Calibri" w:hAnsi="Calibri"/>
          <w:i/>
          <w:iCs/>
          <w:color w:val="7C8C9C"/>
          <w:sz w:val="19"/>
          <w:szCs w:val="19"/>
        </w:rPr>
        <w:t xml:space="preserve">Please confirm: HTTPS/TLS for all data in transit, encryption at rest, secure API-to-API communications, secure storage of API keys and credentials, no secret/API keys exposed in frontend code…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126"/>
        <w:gridCol w:w="1500"/>
      </w:tblGrid>
      <w:tr>
        <w:trPr>
          <w:tblHeader/>
        </w:trPr>
        <w:tc>
          <w:tcPr>
            <w:tcW w:type="dxa" w:w="3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Control</w:t>
            </w:r>
          </w:p>
        </w:tc>
        <w:tc>
          <w:tcPr>
            <w:tcW w:type="dxa" w:w="41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Implementation</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TLS in transit</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All connections, including to every third party</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Encryption at rest</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AES-256 for database and file storage</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Service-to-service</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JWT, bearer tokens, and signed identity tokens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Secrets storage</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Server-side environment configuration only</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No keys in frontend</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Verified — see note below</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Streaming credential</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Short-lived, minted per session, never persisted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Key rotation policy</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documented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bl>
    <w:p>
      <w:pPr>
        <w:spacing w:after="100"/>
      </w:pPr>
    </w:p>
    <w:p>
      <w:pPr>
        <w:spacing w:after="120"/>
      </w:pPr>
      <w:r>
        <w:rPr>
          <w:rFonts w:ascii="Calibri" w:cs="Calibri" w:eastAsia="Calibri" w:hAnsi="Calibri"/>
          <w:b w:val="false"/>
          <w:bCs w:val="false"/>
          <w:i w:val="false"/>
          <w:iCs w:val="false"/>
          <w:color w:val="12212E"/>
          <w:sz w:val="21"/>
          <w:szCs w:val="21"/>
        </w:rPr>
        <w:t xml:space="preserve">On frontend secrets: the only credentials in the client bundle are the project URL and the publishable key, which are designed to be public. They grant nothing on their own — every request is still subject to authentication and to the row-level policies above. We confirmed no private key of any kind is present in the compiled bundle.</w:t>
      </w:r>
    </w:p>
    <w:p>
      <w:pPr>
        <w:pStyle w:val="Heading1"/>
        <w:spacing w:after="160" w:before="360"/>
      </w:pPr>
      <w:r>
        <w:rPr>
          <w:rFonts w:ascii="Calibri" w:cs="Calibri" w:eastAsia="Calibri" w:hAnsi="Calibri"/>
          <w:b/>
          <w:bCs/>
          <w:color w:val="14315C"/>
          <w:sz w:val="30"/>
          <w:szCs w:val="30"/>
        </w:rPr>
        <w:t xml:space="preserve">8. OpenAI and Deepgram</w:t>
      </w:r>
    </w:p>
    <w:p>
      <w:pPr>
        <w:pBdr>
          <w:left w:val="single" w:color="C3D1DC" w:sz="12" w:space="8"/>
        </w:pBdr>
        <w:spacing w:after="140"/>
        <w:ind w:left="240"/>
      </w:pPr>
      <w:r>
        <w:rPr>
          <w:rFonts w:ascii="Calibri" w:cs="Calibri" w:eastAsia="Calibri" w:hAnsi="Calibri"/>
          <w:i/>
          <w:iCs/>
          <w:color w:val="7C8C9C"/>
          <w:sz w:val="19"/>
          <w:szCs w:val="19"/>
        </w:rPr>
        <w:t xml:space="preserve">Please document exactly what information is sent to each service… ensure the application can use the appropriate regional processing/data-residency and Zero Data Retention configuration once enabled.</w:t>
      </w:r>
    </w:p>
    <w:p>
      <w:pPr>
        <w:spacing w:after="60" w:before="100"/>
      </w:pPr>
      <w:r>
        <w:rPr>
          <w:rFonts w:ascii="Calibri" w:cs="Calibri" w:eastAsia="Calibri" w:hAnsi="Calibri"/>
          <w:b/>
          <w:bCs/>
          <w:caps/>
          <w:color w:val="0C7D72"/>
          <w:sz w:val="19"/>
          <w:szCs w:val="19"/>
        </w:rPr>
        <w:t xml:space="preserve">OpenAI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Item</w:t>
            </w:r>
          </w:p>
        </w:tc>
        <w:tc>
          <w:tcPr>
            <w:tcW w:type="dxa" w:w="64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Detail</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Endpoints</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Audio transcription; chat completions</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Models</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gpt-4o-transcribe for dictation; gpt-4o and gpt-4o-mini for letters</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 sent</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Dictation audio; consultation transcripts; patient name and NHS number where entered; template prompts</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Retention</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Up to 30 days for abuse monitoring unless Zero Data Retention is enabled</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Training</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API data is not used to train models by default</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Region</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Global — EU-resident project not yet enabled</w:t>
            </w:r>
          </w:p>
        </w:tc>
      </w:tr>
    </w:tbl>
    <w:p>
      <w:pPr>
        <w:spacing w:after="80"/>
      </w:pPr>
    </w:p>
    <w:p>
      <w:pPr>
        <w:spacing w:after="120"/>
      </w:pPr>
      <w:r>
        <w:rPr>
          <w:rFonts w:ascii="Calibri" w:cs="Calibri" w:eastAsia="Calibri" w:hAnsi="Calibri"/>
          <w:color w:val="12212E"/>
          <w:sz w:val="21"/>
          <w:szCs w:val="21"/>
        </w:rPr>
        <w:t xml:space="preserve">On your readiness question: yes. The OpenAI endpoint has already been made configurable, so moving to an EU-resident project is a single environment variable and requires no code change or redeployment of application logic. Enable the EU project and Zero Data Retention on the account and we can switch it the same day.  </w:t>
      </w:r>
      <w:r>
        <w:rPr>
          <w:rFonts w:ascii="Calibri" w:cs="Calibri" w:eastAsia="Calibri" w:hAnsi="Calibri"/>
          <w:b/>
          <w:bCs/>
          <w:color w:val="1B7F4D"/>
          <w:sz w:val="21"/>
          <w:szCs w:val="21"/>
        </w:rPr>
        <w:t xml:space="preserve">[A]</w:t>
      </w:r>
    </w:p>
    <w:p>
      <w:pPr>
        <w:spacing w:after="60" w:before="100"/>
      </w:pPr>
      <w:r>
        <w:rPr>
          <w:rFonts w:ascii="Calibri" w:cs="Calibri" w:eastAsia="Calibri" w:hAnsi="Calibri"/>
          <w:b/>
          <w:bCs/>
          <w:caps/>
          <w:color w:val="0C7D72"/>
          <w:sz w:val="19"/>
          <w:szCs w:val="19"/>
        </w:rPr>
        <w:t xml:space="preserve">Deepgram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Item</w:t>
            </w:r>
          </w:p>
        </w:tc>
        <w:tc>
          <w:tcPr>
            <w:tcW w:type="dxa" w:w="64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Detail</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Product</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Real-time streaming speech recognition</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Model</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nova-2-medical, en-GB</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Endpoint</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EU endpoint — verified as eu-central-1, Frankfurt</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 sent</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Consultation audio only. No patient identifiers are transmitted.</w:t>
            </w:r>
          </w:p>
        </w:tc>
      </w:tr>
      <w:tr>
        <w:trPr>
          <w:tblHeader w:val="false"/>
        </w:trPr>
        <w:tc>
          <w:tcPr>
            <w:tcW w:type="dxa" w:w="2600"/>
            <w:tcMar>
              <w:top w:type="dxa" w:w="80"/>
              <w:left w:type="dxa" w:w="120"/>
              <w:bottom w:type="dxa" w:w="80"/>
              <w:right w:type="dxa" w:w="120"/>
            </w:tcMar>
          </w:tcPr>
          <w:p>
            <w:r>
              <w:rPr>
                <w:rFonts w:ascii="Calibri" w:cs="Calibri" w:eastAsia="Calibri" w:hAnsi="Calibri"/>
                <w:b w:val="false"/>
                <w:bCs w:val="false"/>
                <w:color w:val="12212E"/>
                <w:sz w:val="19"/>
                <w:szCs w:val="19"/>
              </w:rPr>
              <w:t xml:space="preserve">Retention</w:t>
            </w:r>
          </w:p>
        </w:tc>
        <w:tc>
          <w:tcPr>
            <w:tcW w:type="dxa" w:w="6426"/>
            <w:tcMar>
              <w:top w:type="dxa" w:w="80"/>
              <w:left w:type="dxa" w:w="120"/>
              <w:bottom w:type="dxa" w:w="80"/>
              <w:right w:type="dxa" w:w="120"/>
            </w:tcMar>
          </w:tcPr>
          <w:p>
            <w:r>
              <w:rPr>
                <w:rFonts w:ascii="Calibri" w:cs="Calibri" w:eastAsia="Calibri" w:hAnsi="Calibri"/>
                <w:b w:val="false"/>
                <w:bCs w:val="false"/>
                <w:color w:val="12212E"/>
                <w:sz w:val="19"/>
                <w:szCs w:val="19"/>
              </w:rPr>
              <w:t xml:space="preserve">To be confirmed in writing with the vendor</w:t>
            </w:r>
          </w:p>
        </w:tc>
      </w:tr>
    </w:tbl>
    <w:p>
      <w:pPr>
        <w:spacing w:after="80"/>
      </w:pPr>
    </w:p>
    <w:p>
      <w:pPr>
        <w:spacing w:after="120"/>
      </w:pPr>
      <w:r>
        <w:rPr>
          <w:rFonts w:ascii="Calibri" w:cs="Calibri" w:eastAsia="Calibri" w:hAnsi="Calibri"/>
          <w:color w:val="12212E"/>
          <w:sz w:val="21"/>
          <w:szCs w:val="21"/>
        </w:rPr>
        <w:t xml:space="preserve">We verified this by sending a generated test tone to the EU endpoint from within the platform and confirming the response and resolved region. A self-service check is now built into the application, under Settings, so you can reproduce this evidence at any time and screenshot it for the DPIA.  </w:t>
      </w:r>
      <w:r>
        <w:rPr>
          <w:rFonts w:ascii="Calibri" w:cs="Calibri" w:eastAsia="Calibri" w:hAnsi="Calibri"/>
          <w:b/>
          <w:bCs/>
          <w:color w:val="1B7F4D"/>
          <w:sz w:val="21"/>
          <w:szCs w:val="21"/>
        </w:rPr>
        <w:t xml:space="preserve">[A]</w:t>
      </w:r>
    </w:p>
    <w:p>
      <w:pPr>
        <w:spacing w:after="120"/>
      </w:pPr>
      <w:r>
        <w:rPr>
          <w:rFonts w:ascii="Calibri" w:cs="Calibri" w:eastAsia="Calibri" w:hAnsi="Calibri"/>
          <w:color w:val="12212E"/>
          <w:sz w:val="21"/>
          <w:szCs w:val="21"/>
        </w:rPr>
        <w:t xml:space="preserve">One hardening point: the credential is also accepted by the global endpoint, so EU processing is enforced by our configuration rather than by the key itself. Requesting an EU-scoped key would make routing outside the EU impossible even by misconfiguration.  </w:t>
      </w:r>
      <w:r>
        <w:rPr>
          <w:rFonts w:ascii="Calibri" w:cs="Calibri" w:eastAsia="Calibri" w:hAnsi="Calibri"/>
          <w:b/>
          <w:bCs/>
          <w:color w:val="5B6472"/>
          <w:sz w:val="21"/>
          <w:szCs w:val="21"/>
        </w:rPr>
        <w:t xml:space="preserve">[D]</w:t>
      </w:r>
    </w:p>
    <w:p>
      <w:pPr>
        <w:pStyle w:val="Heading1"/>
        <w:spacing w:after="160" w:before="360"/>
      </w:pPr>
      <w:r>
        <w:rPr>
          <w:rFonts w:ascii="Calibri" w:cs="Calibri" w:eastAsia="Calibri" w:hAnsi="Calibri"/>
          <w:b/>
          <w:bCs/>
          <w:color w:val="14315C"/>
          <w:sz w:val="30"/>
          <w:szCs w:val="30"/>
        </w:rPr>
        <w:t xml:space="preserve">9. Patient data deletion and export</w:t>
      </w:r>
    </w:p>
    <w:p>
      <w:pPr>
        <w:pBdr>
          <w:left w:val="single" w:color="C3D1DC" w:sz="12" w:space="8"/>
        </w:pBdr>
        <w:spacing w:after="140"/>
        <w:ind w:left="240"/>
      </w:pPr>
      <w:r>
        <w:rPr>
          <w:rFonts w:ascii="Calibri" w:cs="Calibri" w:eastAsia="Calibri" w:hAnsi="Calibri"/>
          <w:i/>
          <w:iCs/>
          <w:color w:val="7C8C9C"/>
          <w:sz w:val="19"/>
          <w:szCs w:val="19"/>
        </w:rPr>
        <w:t xml:space="preserve">We need a reliable method to locate, export and delete a patient's/user's information, delete associated files/audio, and ensure deletion propagates appropriately.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26"/>
        <w:gridCol w:w="1500"/>
      </w:tblGrid>
      <w:tr>
        <w:trPr>
          <w:tblHeader/>
        </w:trPr>
        <w:tc>
          <w:tcPr>
            <w:tcW w:type="dxa" w:w="30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Requirement</w:t>
            </w:r>
          </w:p>
        </w:tc>
        <w:tc>
          <w:tcPr>
            <w:tcW w:type="dxa" w:w="45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Mechanism</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Locate information</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Structured export of everything held for an account</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Export</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Full JSON export covering profile, recordings, letters, templates and audit records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Delete information</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Erasure function removing records, letters and templates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Delete files / audio</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Stored audio objects removed in the same operation</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Propagation</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Foreign keys cascade; storage cleared in the same transaction</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Delete the login account</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Requires administrative action; no in-app flow</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3000"/>
            <w:tcMar>
              <w:top w:type="dxa" w:w="80"/>
              <w:left w:type="dxa" w:w="120"/>
              <w:bottom w:type="dxa" w:w="80"/>
              <w:right w:type="dxa" w:w="120"/>
            </w:tcMar>
          </w:tcPr>
          <w:p>
            <w:r>
              <w:rPr>
                <w:rFonts w:ascii="Calibri" w:cs="Calibri" w:eastAsia="Calibri" w:hAnsi="Calibri"/>
                <w:b w:val="false"/>
                <w:bCs w:val="false"/>
                <w:color w:val="12212E"/>
                <w:sz w:val="19"/>
                <w:szCs w:val="19"/>
              </w:rPr>
              <w:t xml:space="preserve">Backups</w:t>
            </w:r>
          </w:p>
        </w:tc>
        <w:tc>
          <w:tcPr>
            <w:tcW w:type="dxa" w:w="4526"/>
            <w:tcMar>
              <w:top w:type="dxa" w:w="80"/>
              <w:left w:type="dxa" w:w="120"/>
              <w:bottom w:type="dxa" w:w="80"/>
              <w:right w:type="dxa" w:w="120"/>
            </w:tcMar>
          </w:tcPr>
          <w:p>
            <w:r>
              <w:rPr>
                <w:rFonts w:ascii="Calibri" w:cs="Calibri" w:eastAsia="Calibri" w:hAnsi="Calibri"/>
                <w:b w:val="false"/>
                <w:bCs w:val="false"/>
                <w:color w:val="12212E"/>
                <w:sz w:val="19"/>
                <w:szCs w:val="19"/>
              </w:rPr>
              <w:t xml:space="preserve">Erased data persists in backups until they roll off</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bl>
    <w:p>
      <w:pPr>
        <w:spacing w:after="100"/>
      </w:pPr>
    </w:p>
    <w:p>
      <w:pPr>
        <w:spacing w:after="60" w:before="100"/>
      </w:pPr>
      <w:r>
        <w:rPr>
          <w:rFonts w:ascii="Calibri" w:cs="Calibri" w:eastAsia="Calibri" w:hAnsi="Calibri"/>
          <w:b/>
          <w:bCs/>
          <w:caps/>
          <w:color w:val="0C7D72"/>
          <w:sz w:val="19"/>
          <w:szCs w:val="19"/>
        </w:rPr>
        <w:t xml:space="preserve">Important limitation</w:t>
      </w:r>
    </w:p>
    <w:p>
      <w:pPr>
        <w:spacing w:after="120"/>
      </w:pPr>
      <w:r>
        <w:rPr>
          <w:rFonts w:ascii="Calibri" w:cs="Calibri" w:eastAsia="Calibri" w:hAnsi="Calibri"/>
          <w:color w:val="12212E"/>
          <w:sz w:val="21"/>
          <w:szCs w:val="21"/>
        </w:rPr>
        <w:t xml:space="preserve">Current tooling operates per clinician account, not per patient. Locating and deleting a single patient's records requires a manual database operation. We expect this to be raised in your DPIA and recommend it as the highest-priority development item after the OpenAI change.  </w:t>
      </w:r>
      <w:r>
        <w:rPr>
          <w:rFonts w:ascii="Calibri" w:cs="Calibri" w:eastAsia="Calibri" w:hAnsi="Calibri"/>
          <w:b/>
          <w:bCs/>
          <w:color w:val="B3392E"/>
          <w:sz w:val="21"/>
          <w:szCs w:val="21"/>
        </w:rPr>
        <w:t xml:space="preserve">[C]</w:t>
      </w:r>
    </w:p>
    <w:p>
      <w:pPr>
        <w:spacing w:after="120"/>
      </w:pPr>
      <w:r>
        <w:rPr>
          <w:rFonts w:ascii="Calibri" w:cs="Calibri" w:eastAsia="Calibri" w:hAnsi="Calibri"/>
          <w:b w:val="false"/>
          <w:bCs w:val="false"/>
          <w:i w:val="false"/>
          <w:iCs w:val="false"/>
          <w:color w:val="12212E"/>
          <w:sz w:val="21"/>
          <w:szCs w:val="21"/>
        </w:rPr>
        <w:t xml:space="preserve">Both export and erasure write to the audit log, recording that the action took place without copying the erased content into the record.</w:t>
      </w:r>
    </w:p>
    <w:p>
      <w:pPr>
        <w:pStyle w:val="Heading1"/>
        <w:spacing w:after="160" w:before="360"/>
      </w:pPr>
      <w:r>
        <w:rPr>
          <w:rFonts w:ascii="Calibri" w:cs="Calibri" w:eastAsia="Calibri" w:hAnsi="Calibri"/>
          <w:b/>
          <w:bCs/>
          <w:color w:val="14315C"/>
          <w:sz w:val="30"/>
          <w:szCs w:val="30"/>
        </w:rPr>
        <w:t xml:space="preserve">10. Audit trail</w:t>
      </w:r>
    </w:p>
    <w:p>
      <w:pPr>
        <w:pBdr>
          <w:left w:val="single" w:color="C3D1DC" w:sz="12" w:space="8"/>
        </w:pBdr>
        <w:spacing w:after="140"/>
        <w:ind w:left="240"/>
      </w:pPr>
      <w:r>
        <w:rPr>
          <w:rFonts w:ascii="Calibri" w:cs="Calibri" w:eastAsia="Calibri" w:hAnsi="Calibri"/>
          <w:i/>
          <w:iCs/>
          <w:color w:val="7C8C9C"/>
          <w:sz w:val="19"/>
          <w:szCs w:val="19"/>
        </w:rPr>
        <w:t xml:space="preserve">Please ensure important activities are auditable… The audit trail should record the necessary event information without unnecessarily copying clinical information into the logs.</w:t>
      </w:r>
    </w:p>
    <w:p>
      <w:pPr>
        <w:spacing w:after="120"/>
      </w:pPr>
      <w:r>
        <w:rPr>
          <w:rFonts w:ascii="Calibri" w:cs="Calibri" w:eastAsia="Calibri" w:hAnsi="Calibri"/>
          <w:b w:val="false"/>
          <w:bCs w:val="false"/>
          <w:i w:val="false"/>
          <w:iCs w:val="false"/>
          <w:color w:val="12212E"/>
          <w:sz w:val="21"/>
          <w:szCs w:val="21"/>
        </w:rPr>
        <w:t xml:space="preserve">An append-only audit table exists. It has no client-side write path, so entries cannot be altered or removed through the application, and it deliberately records events without clinical content — which is the property you asked for.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3126"/>
        <w:gridCol w:w="1500"/>
      </w:tblGrid>
      <w:tr>
        <w:trPr>
          <w:tblHeader/>
        </w:trPr>
        <w:tc>
          <w:tcPr>
            <w:tcW w:type="dxa" w:w="4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Event</w:t>
            </w:r>
          </w:p>
        </w:tc>
        <w:tc>
          <w:tcPr>
            <w:tcW w:type="dxa" w:w="31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Recorded</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 export</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Yes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Data erasure</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Yes, with counts only</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Audio deleted by retention</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Yes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Login / logout</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Platform auth logs only, not the application trail</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Record create / access / modify / delete</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recorded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Transcript creation</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recorded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Letter generation</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recorded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Export / download by clinician</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recorded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Administrative access</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recorded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bl>
    <w:p>
      <w:pPr>
        <w:spacing w:after="80"/>
      </w:pPr>
    </w:p>
    <w:p>
      <w:pPr>
        <w:spacing w:after="120"/>
      </w:pPr>
      <w:r>
        <w:rPr>
          <w:rFonts w:ascii="Calibri" w:cs="Calibri" w:eastAsia="Calibri" w:hAnsi="Calibri"/>
          <w:b w:val="false"/>
          <w:bCs w:val="false"/>
          <w:i w:val="false"/>
          <w:iCs w:val="false"/>
          <w:color w:val="12212E"/>
          <w:sz w:val="21"/>
          <w:szCs w:val="21"/>
        </w:rPr>
        <w:t xml:space="preserve">Assessment: the structure and its guarantees are sound; event coverage is thin. Extending it to the events above is straightforward and we would expect it to be required for DSPT.</w:t>
      </w:r>
    </w:p>
    <w:p>
      <w:pPr>
        <w:pStyle w:val="Heading1"/>
        <w:spacing w:after="160" w:before="360"/>
      </w:pPr>
      <w:r>
        <w:rPr>
          <w:rFonts w:ascii="Calibri" w:cs="Calibri" w:eastAsia="Calibri" w:hAnsi="Calibri"/>
          <w:b/>
          <w:bCs/>
          <w:color w:val="14315C"/>
          <w:sz w:val="30"/>
          <w:szCs w:val="30"/>
        </w:rPr>
        <w:t xml:space="preserve">11. Browser and local storage</w:t>
      </w:r>
    </w:p>
    <w:p>
      <w:pPr>
        <w:pBdr>
          <w:left w:val="single" w:color="C3D1DC" w:sz="12" w:space="8"/>
        </w:pBdr>
        <w:spacing w:after="140"/>
        <w:ind w:left="240"/>
      </w:pPr>
      <w:r>
        <w:rPr>
          <w:rFonts w:ascii="Calibri" w:cs="Calibri" w:eastAsia="Calibri" w:hAnsi="Calibri"/>
          <w:i/>
          <w:iCs/>
          <w:color w:val="7C8C9C"/>
          <w:sz w:val="19"/>
          <w:szCs w:val="19"/>
        </w:rPr>
        <w:t xml:space="preserve">Please ensure that patient data does not remain unnecessarily on the clinician's computer/browser after logout.</w:t>
      </w:r>
    </w:p>
    <w:p>
      <w:pPr>
        <w:spacing w:after="120"/>
      </w:pPr>
      <w:r>
        <w:rPr>
          <w:rFonts w:ascii="Calibri" w:cs="Calibri" w:eastAsia="Calibri" w:hAnsi="Calibri"/>
          <w:b w:val="false"/>
          <w:bCs w:val="false"/>
          <w:i w:val="false"/>
          <w:iCs w:val="false"/>
          <w:color w:val="12212E"/>
          <w:sz w:val="21"/>
          <w:szCs w:val="21"/>
        </w:rPr>
        <w:t xml:space="preserve">This was reviewed in detail and one real problem was found and fixed. The crash-recovery feature stored the transcript and patient identifiers in browser storage, which survives logout. On a shared clinical workstation the next clinician could have read the previous patient's data through developer tools.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4126"/>
        <w:gridCol w:w="1500"/>
      </w:tblGrid>
      <w:tr>
        <w:trPr>
          <w:tblHeader/>
        </w:trPr>
        <w:tc>
          <w:tcPr>
            <w:tcW w:type="dxa" w:w="3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Item</w:t>
            </w:r>
          </w:p>
        </w:tc>
        <w:tc>
          <w:tcPr>
            <w:tcW w:type="dxa" w:w="41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Position</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Recovery snapshot</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Namespaced per user; one account cannot read another's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Sign-out</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All patient data purged, including residue from earlier users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Session tokens</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Cleared at sign-out</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IndexedDB</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used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Cookies</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None set by the application</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Temporary audio</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Held in memory only; released on discard or navigation</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Downloaded files</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No file download implemented; letters are copied or emailed</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r>
        <w:trPr>
          <w:tblHeader w:val="false"/>
        </w:trPr>
        <w:tc>
          <w:tcPr>
            <w:tcW w:type="dxa" w:w="3400"/>
            <w:tcMar>
              <w:top w:type="dxa" w:w="80"/>
              <w:left w:type="dxa" w:w="120"/>
              <w:bottom w:type="dxa" w:w="80"/>
              <w:right w:type="dxa" w:w="120"/>
            </w:tcMar>
          </w:tcPr>
          <w:p>
            <w:r>
              <w:rPr>
                <w:rFonts w:ascii="Calibri" w:cs="Calibri" w:eastAsia="Calibri" w:hAnsi="Calibri"/>
                <w:b w:val="false"/>
                <w:bCs w:val="false"/>
                <w:color w:val="12212E"/>
                <w:sz w:val="19"/>
                <w:szCs w:val="19"/>
              </w:rPr>
              <w:t xml:space="preserve">Browser cache</w:t>
            </w:r>
          </w:p>
        </w:tc>
        <w:tc>
          <w:tcPr>
            <w:tcW w:type="dxa" w:w="4126"/>
            <w:tcMar>
              <w:top w:type="dxa" w:w="80"/>
              <w:left w:type="dxa" w:w="120"/>
              <w:bottom w:type="dxa" w:w="80"/>
              <w:right w:type="dxa" w:w="120"/>
            </w:tcMar>
          </w:tcPr>
          <w:p>
            <w:r>
              <w:rPr>
                <w:rFonts w:ascii="Calibri" w:cs="Calibri" w:eastAsia="Calibri" w:hAnsi="Calibri"/>
                <w:b w:val="false"/>
                <w:bCs w:val="false"/>
                <w:color w:val="12212E"/>
                <w:sz w:val="19"/>
                <w:szCs w:val="19"/>
              </w:rPr>
              <w:t xml:space="preserve">Static assets only; no API responses cached</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bl>
    <w:p>
      <w:pPr>
        <w:spacing w:after="80"/>
      </w:pPr>
    </w:p>
    <w:p>
      <w:pPr>
        <w:spacing w:after="120"/>
      </w:pPr>
      <w:r>
        <w:rPr>
          <w:rFonts w:ascii="Calibri" w:cs="Calibri" w:eastAsia="Calibri" w:hAnsi="Calibri"/>
          <w:color w:val="12212E"/>
          <w:sz w:val="21"/>
          <w:szCs w:val="21"/>
        </w:rPr>
        <w:t xml:space="preserve">This is covered by automated tests, including one that specifically proves the shared-workstation case.  </w:t>
      </w:r>
      <w:r>
        <w:rPr>
          <w:rFonts w:ascii="Calibri" w:cs="Calibri" w:eastAsia="Calibri" w:hAnsi="Calibri"/>
          <w:b/>
          <w:bCs/>
          <w:color w:val="1B7F4D"/>
          <w:sz w:val="21"/>
          <w:szCs w:val="21"/>
        </w:rPr>
        <w:t xml:space="preserve">[A]</w:t>
      </w:r>
    </w:p>
    <w:p>
      <w:pPr>
        <w:pStyle w:val="Heading1"/>
        <w:spacing w:after="160" w:before="360"/>
      </w:pPr>
      <w:r>
        <w:rPr>
          <w:rFonts w:ascii="Calibri" w:cs="Calibri" w:eastAsia="Calibri" w:hAnsi="Calibri"/>
          <w:b/>
          <w:bCs/>
          <w:color w:val="14315C"/>
          <w:sz w:val="30"/>
          <w:szCs w:val="30"/>
        </w:rPr>
        <w:t xml:space="preserve">12. Security testing</w:t>
      </w:r>
    </w:p>
    <w:p>
      <w:pPr>
        <w:pBdr>
          <w:left w:val="single" w:color="C3D1DC" w:sz="12" w:space="8"/>
        </w:pBdr>
        <w:spacing w:after="140"/>
        <w:ind w:left="240"/>
      </w:pPr>
      <w:r>
        <w:rPr>
          <w:rFonts w:ascii="Calibri" w:cs="Calibri" w:eastAsia="Calibri" w:hAnsi="Calibri"/>
          <w:i/>
          <w:iCs/>
          <w:color w:val="7C8C9C"/>
          <w:sz w:val="19"/>
          <w:szCs w:val="19"/>
        </w:rPr>
        <w:t xml:space="preserve">Please run/document automated security tests and prepare the system for an independent penetration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3126"/>
        <w:gridCol w:w="1500"/>
      </w:tblGrid>
      <w:tr>
        <w:trPr>
          <w:tblHeader/>
        </w:trPr>
        <w:tc>
          <w:tcPr>
            <w:tcW w:type="dxa" w:w="4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Area</w:t>
            </w:r>
          </w:p>
        </w:tc>
        <w:tc>
          <w:tcPr>
            <w:tcW w:type="dxa" w:w="31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Position</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Automated test suite</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102 tests, run on every change</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Transcript integrity</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Covered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Browser data isolation</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Covered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Schema conformance</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Covered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Interface hygiene</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Covered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Cross-user access / IDOR against a live database</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yet written</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Injection</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Mitigated by parameterised queries throughout</w:t>
            </w:r>
          </w:p>
        </w:tc>
        <w:tc>
          <w:tcPr>
            <w:tcW w:type="dxa" w:w="1500"/>
            <w:tcMar>
              <w:top w:type="dxa" w:w="80"/>
              <w:left w:type="dxa" w:w="120"/>
              <w:bottom w:type="dxa" w:w="80"/>
              <w:right w:type="dxa" w:w="120"/>
            </w:tcMar>
          </w:tcPr>
          <w:p>
            <w:r>
              <w:rPr>
                <w:rFonts w:ascii="Calibri" w:cs="Calibri" w:eastAsia="Calibri" w:hAnsi="Calibri"/>
                <w:b/>
                <w:bCs/>
                <w:color w:val="A66A00"/>
                <w:sz w:val="19"/>
                <w:szCs w:val="19"/>
              </w:rPr>
              <w:t xml:space="preserve">B</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Dependency vulnerability scanning</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implemented</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Independent penetration test</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Not commissioned</w:t>
            </w:r>
          </w:p>
        </w:tc>
        <w:tc>
          <w:tcPr>
            <w:tcW w:type="dxa" w:w="1500"/>
            <w:tcMar>
              <w:top w:type="dxa" w:w="80"/>
              <w:left w:type="dxa" w:w="120"/>
              <w:bottom w:type="dxa" w:w="80"/>
              <w:right w:type="dxa" w:w="120"/>
            </w:tcMar>
          </w:tcPr>
          <w:p>
            <w:r>
              <w:rPr>
                <w:rFonts w:ascii="Calibri" w:cs="Calibri" w:eastAsia="Calibri" w:hAnsi="Calibri"/>
                <w:b/>
                <w:bCs/>
                <w:color w:val="5B6472"/>
                <w:sz w:val="19"/>
                <w:szCs w:val="19"/>
              </w:rPr>
              <w:t xml:space="preserve">D</w:t>
            </w:r>
          </w:p>
        </w:tc>
      </w:tr>
    </w:tbl>
    <w:p>
      <w:pPr>
        <w:spacing w:after="80"/>
      </w:pPr>
    </w:p>
    <w:p>
      <w:pPr>
        <w:spacing w:after="120"/>
      </w:pPr>
      <w:r>
        <w:rPr>
          <w:rFonts w:ascii="Calibri" w:cs="Calibri" w:eastAsia="Calibri" w:hAnsi="Calibri"/>
          <w:b w:val="false"/>
          <w:bCs w:val="false"/>
          <w:i w:val="false"/>
          <w:iCs w:val="false"/>
          <w:color w:val="12212E"/>
          <w:sz w:val="21"/>
          <w:szCs w:val="21"/>
        </w:rPr>
        <w:t xml:space="preserve">A penetration test must be carried out by an independent third party for its findings to carry assurance value, so procuring and managing it sits with NoteMD. We will support the tester with architecture information and environment access. Please note that remediation of findings cannot be estimated before the test reports and would need to be scoped separately once the report is available.</w:t>
      </w:r>
    </w:p>
    <w:p>
      <w:pPr>
        <w:pStyle w:val="Heading1"/>
        <w:spacing w:after="160" w:before="360"/>
      </w:pPr>
      <w:r>
        <w:rPr>
          <w:rFonts w:ascii="Calibri" w:cs="Calibri" w:eastAsia="Calibri" w:hAnsi="Calibri"/>
          <w:b/>
          <w:bCs/>
          <w:color w:val="14315C"/>
          <w:sz w:val="30"/>
          <w:szCs w:val="30"/>
        </w:rPr>
        <w:t xml:space="preserve">13. Backup and recovery</w:t>
      </w:r>
    </w:p>
    <w:p>
      <w:pPr>
        <w:pBdr>
          <w:left w:val="single" w:color="C3D1DC" w:sz="12" w:space="8"/>
        </w:pBdr>
        <w:spacing w:after="140"/>
        <w:ind w:left="240"/>
      </w:pPr>
      <w:r>
        <w:rPr>
          <w:rFonts w:ascii="Calibri" w:cs="Calibri" w:eastAsia="Calibri" w:hAnsi="Calibri"/>
          <w:i/>
          <w:iCs/>
          <w:color w:val="7C8C9C"/>
          <w:sz w:val="19"/>
          <w:szCs w:val="19"/>
        </w:rPr>
        <w:t xml:space="preserve">Please document what is backed up, where, region, encryption, retention, access and restoration, and whether deleted patient information may remain within backups.</w:t>
      </w:r>
    </w:p>
    <w:p>
      <w:pPr>
        <w:spacing w:after="120"/>
      </w:pPr>
      <w:r>
        <w:rPr>
          <w:rFonts w:ascii="Calibri" w:cs="Calibri" w:eastAsia="Calibri" w:hAnsi="Calibri"/>
          <w:b w:val="false"/>
          <w:bCs w:val="false"/>
          <w:i w:val="false"/>
          <w:iCs w:val="false"/>
          <w:color w:val="12212E"/>
          <w:sz w:val="21"/>
          <w:szCs w:val="21"/>
        </w:rPr>
        <w:t xml:space="preserve">Backups are managed by the platform rather than configured by us. They inherit the project region (Ireland) and platform encryption at rest, and access is limited to project administrators.</w:t>
      </w:r>
    </w:p>
    <w:p>
      <w:pPr>
        <w:spacing w:after="120"/>
      </w:pPr>
      <w:r>
        <w:rPr>
          <w:rFonts w:ascii="Calibri" w:cs="Calibri" w:eastAsia="Calibri" w:hAnsi="Calibri"/>
          <w:color w:val="12212E"/>
          <w:sz w:val="21"/>
          <w:szCs w:val="21"/>
        </w:rPr>
        <w:t xml:space="preserve">The following need confirming from the Supabase dashboard, which we do not have billing-level visibility of: the current plan, the backup retention window, whether point-in-time recovery is enabled, and the documented restoration procedure. This is a short task and we can complete it with dashboard access.  </w:t>
      </w:r>
      <w:r>
        <w:rPr>
          <w:rFonts w:ascii="Calibri" w:cs="Calibri" w:eastAsia="Calibri" w:hAnsi="Calibri"/>
          <w:b/>
          <w:bCs/>
          <w:color w:val="A66A00"/>
          <w:sz w:val="21"/>
          <w:szCs w:val="21"/>
        </w:rPr>
        <w:t xml:space="preserve">[B]</w:t>
      </w:r>
    </w:p>
    <w:p>
      <w:pPr>
        <w:spacing w:after="60"/>
      </w:pPr>
    </w:p>
    <w:p>
      <w:pPr>
        <w:spacing w:after="140"/>
      </w:pPr>
      <w:r>
        <w:rPr>
          <w:rFonts w:ascii="Calibri" w:cs="Calibri" w:eastAsia="Calibri" w:hAnsi="Calibri"/>
          <w:b/>
          <w:bCs/>
          <w:color w:val="12212E"/>
          <w:sz w:val="21"/>
          <w:szCs w:val="21"/>
        </w:rPr>
        <w:t xml:space="preserve">On your specific question: </w:t>
      </w:r>
      <w:r>
        <w:rPr>
          <w:rFonts w:ascii="Calibri" w:cs="Calibri" w:eastAsia="Calibri" w:hAnsi="Calibri"/>
          <w:color w:val="12212E"/>
          <w:sz w:val="21"/>
          <w:szCs w:val="21"/>
        </w:rPr>
        <w:t xml:space="preserve">yes — deleted patient information can persist inside backups after erasure, until those backups age out. This is normal and is accepted practice, but it must be stated in the DPIA along with the actual window. It is a standard question and reviewers look for it.</w:t>
      </w:r>
    </w:p>
    <w:p>
      <w:pPr>
        <w:pStyle w:val="Heading1"/>
        <w:spacing w:after="160" w:before="360"/>
      </w:pPr>
      <w:r>
        <w:rPr>
          <w:rFonts w:ascii="Calibri" w:cs="Calibri" w:eastAsia="Calibri" w:hAnsi="Calibri"/>
          <w:b/>
          <w:bCs/>
          <w:color w:val="14315C"/>
          <w:sz w:val="30"/>
          <w:szCs w:val="30"/>
        </w:rPr>
        <w:t xml:space="preserve">14. Production and test separation</w:t>
      </w:r>
    </w:p>
    <w:p>
      <w:pPr>
        <w:pBdr>
          <w:left w:val="single" w:color="C3D1DC" w:sz="12" w:space="8"/>
        </w:pBdr>
        <w:spacing w:after="140"/>
        <w:ind w:left="240"/>
      </w:pPr>
      <w:r>
        <w:rPr>
          <w:rFonts w:ascii="Calibri" w:cs="Calibri" w:eastAsia="Calibri" w:hAnsi="Calibri"/>
          <w:i/>
          <w:iCs/>
          <w:color w:val="7C8C9C"/>
          <w:sz w:val="19"/>
          <w:szCs w:val="19"/>
        </w:rPr>
        <w:t xml:space="preserve">Please confirm that development, staging and production environments are appropriately separated. Real patient data must not be copied into development or testing environments.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400"/>
        <w:gridCol w:w="3126"/>
        <w:gridCol w:w="1500"/>
      </w:tblGrid>
      <w:tr>
        <w:trPr>
          <w:tblHeader/>
        </w:trPr>
        <w:tc>
          <w:tcPr>
            <w:tcW w:type="dxa" w:w="44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Item</w:t>
            </w:r>
          </w:p>
        </w:tc>
        <w:tc>
          <w:tcPr>
            <w:tcW w:type="dxa" w:w="31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Position</w:t>
            </w:r>
          </w:p>
        </w:tc>
        <w:tc>
          <w:tcPr>
            <w:tcW w:type="dxa" w:w="15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Status</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Real patient data copied to development</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 No export or seeding tooling exists.</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Automated tests use synthetic data only</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Confirmed</w:t>
            </w:r>
          </w:p>
        </w:tc>
        <w:tc>
          <w:tcPr>
            <w:tcW w:type="dxa" w:w="1500"/>
            <w:tcMar>
              <w:top w:type="dxa" w:w="80"/>
              <w:left w:type="dxa" w:w="120"/>
              <w:bottom w:type="dxa" w:w="80"/>
              <w:right w:type="dxa" w:w="120"/>
            </w:tcMar>
          </w:tcPr>
          <w:p>
            <w:r>
              <w:rPr>
                <w:rFonts w:ascii="Calibri" w:cs="Calibri" w:eastAsia="Calibri" w:hAnsi="Calibri"/>
                <w:b/>
                <w:bCs/>
                <w:color w:val="1B7F4D"/>
                <w:sz w:val="19"/>
                <w:szCs w:val="19"/>
              </w:rPr>
              <w:t xml:space="preserve">A</w:t>
            </w:r>
          </w:p>
        </w:tc>
      </w:tr>
      <w:tr>
        <w:trPr>
          <w:tblHeader w:val="false"/>
        </w:trPr>
        <w:tc>
          <w:tcPr>
            <w:tcW w:type="dxa" w:w="4400"/>
            <w:tcMar>
              <w:top w:type="dxa" w:w="80"/>
              <w:left w:type="dxa" w:w="120"/>
              <w:bottom w:type="dxa" w:w="80"/>
              <w:right w:type="dxa" w:w="120"/>
            </w:tcMar>
          </w:tcPr>
          <w:p>
            <w:r>
              <w:rPr>
                <w:rFonts w:ascii="Calibri" w:cs="Calibri" w:eastAsia="Calibri" w:hAnsi="Calibri"/>
                <w:b w:val="false"/>
                <w:bCs w:val="false"/>
                <w:color w:val="12212E"/>
                <w:sz w:val="19"/>
                <w:szCs w:val="19"/>
              </w:rPr>
              <w:t xml:space="preserve">Separate staging environment</w:t>
            </w:r>
          </w:p>
        </w:tc>
        <w:tc>
          <w:tcPr>
            <w:tcW w:type="dxa" w:w="3126"/>
            <w:tcMar>
              <w:top w:type="dxa" w:w="80"/>
              <w:left w:type="dxa" w:w="120"/>
              <w:bottom w:type="dxa" w:w="80"/>
              <w:right w:type="dxa" w:w="120"/>
            </w:tcMar>
          </w:tcPr>
          <w:p>
            <w:r>
              <w:rPr>
                <w:rFonts w:ascii="Calibri" w:cs="Calibri" w:eastAsia="Calibri" w:hAnsi="Calibri"/>
                <w:b w:val="false"/>
                <w:bCs w:val="false"/>
                <w:color w:val="12212E"/>
                <w:sz w:val="19"/>
                <w:szCs w:val="19"/>
              </w:rPr>
              <w:t xml:space="preserve">None — development points at production</w:t>
            </w:r>
          </w:p>
        </w:tc>
        <w:tc>
          <w:tcPr>
            <w:tcW w:type="dxa" w:w="1500"/>
            <w:tcMar>
              <w:top w:type="dxa" w:w="80"/>
              <w:left w:type="dxa" w:w="120"/>
              <w:bottom w:type="dxa" w:w="80"/>
              <w:right w:type="dxa" w:w="120"/>
            </w:tcMar>
          </w:tcPr>
          <w:p>
            <w:r>
              <w:rPr>
                <w:rFonts w:ascii="Calibri" w:cs="Calibri" w:eastAsia="Calibri" w:hAnsi="Calibri"/>
                <w:b/>
                <w:bCs/>
                <w:color w:val="B3392E"/>
                <w:sz w:val="19"/>
                <w:szCs w:val="19"/>
              </w:rPr>
              <w:t xml:space="preserve">C</w:t>
            </w:r>
          </w:p>
        </w:tc>
      </w:tr>
    </w:tbl>
    <w:p>
      <w:pPr>
        <w:spacing w:after="80"/>
      </w:pPr>
    </w:p>
    <w:p>
      <w:pPr>
        <w:spacing w:after="120"/>
      </w:pPr>
      <w:r>
        <w:rPr>
          <w:rFonts w:ascii="Calibri" w:cs="Calibri" w:eastAsia="Calibri" w:hAnsi="Calibri"/>
          <w:b w:val="false"/>
          <w:bCs w:val="false"/>
          <w:i w:val="false"/>
          <w:iCs w:val="false"/>
          <w:color w:val="12212E"/>
          <w:sz w:val="21"/>
          <w:szCs w:val="21"/>
        </w:rPr>
        <w:t xml:space="preserve">Stating this plainly: there is no separate staging project, so development work is carried out against the production database. No patient data has been copied out, but a development error could affect production data. We recommend a separate staging project, which is inexpensive and removes the risk.</w:t>
      </w:r>
    </w:p>
    <w:p>
      <w:pPr>
        <w:pStyle w:val="Heading1"/>
        <w:spacing w:after="160" w:before="360"/>
      </w:pPr>
      <w:r>
        <w:rPr>
          <w:rFonts w:ascii="Calibri" w:cs="Calibri" w:eastAsia="Calibri" w:hAnsi="Calibri"/>
          <w:b/>
          <w:bCs/>
          <w:color w:val="14315C"/>
          <w:sz w:val="30"/>
          <w:szCs w:val="30"/>
        </w:rPr>
        <w:t xml:space="preserve">15. Technical documentation and evidence</w:t>
      </w:r>
    </w:p>
    <w:p>
      <w:pPr>
        <w:pBdr>
          <w:left w:val="single" w:color="C3D1DC" w:sz="12" w:space="8"/>
        </w:pBdr>
        <w:spacing w:after="140"/>
        <w:ind w:left="240"/>
      </w:pPr>
      <w:r>
        <w:rPr>
          <w:rFonts w:ascii="Calibri" w:cs="Calibri" w:eastAsia="Calibri" w:hAnsi="Calibri"/>
          <w:i/>
          <w:iCs/>
          <w:color w:val="7C8C9C"/>
          <w:sz w:val="19"/>
          <w:szCs w:val="19"/>
        </w:rPr>
        <w:t xml:space="preserve">Once the above review is completed, please provide: architecture diagram, data-flow diagram, list of third-party services/subprocessors, data inventory, retention table, access-control description, encryption controls, logging configuration, backup description, vendor configurations, test results, and remaining risks.</w:t>
      </w:r>
    </w:p>
    <w:p>
      <w:pPr>
        <w:spacing w:after="120"/>
      </w:pPr>
      <w:r>
        <w:rPr>
          <w:rFonts w:ascii="Calibri" w:cs="Calibri" w:eastAsia="Calibri" w:hAnsi="Calibri"/>
          <w:b w:val="false"/>
          <w:bCs w:val="false"/>
          <w:i w:val="false"/>
          <w:iCs w:val="false"/>
          <w:color w:val="12212E"/>
          <w:sz w:val="21"/>
          <w:szCs w:val="21"/>
        </w:rPr>
        <w:t xml:space="preserve">Supplied as the following documents:</w:t>
      </w:r>
    </w:p>
    <w:p>
      <w:pPr>
        <w:pStyle w:val="ListParagraph"/>
        <w:numPr>
          <w:ilvl w:val="0"/>
          <w:numId w:val="1"/>
        </w:numPr>
        <w:spacing w:after="60"/>
      </w:pPr>
      <w:r>
        <w:rPr>
          <w:rFonts w:ascii="Calibri" w:cs="Calibri" w:eastAsia="Calibri" w:hAnsi="Calibri"/>
          <w:color w:val="12212E"/>
          <w:sz w:val="21"/>
          <w:szCs w:val="21"/>
        </w:rPr>
        <w:t xml:space="preserve">This response — the fifteen-point review, with every item classified.</w:t>
      </w:r>
    </w:p>
    <w:p>
      <w:pPr>
        <w:pStyle w:val="ListParagraph"/>
        <w:numPr>
          <w:ilvl w:val="0"/>
          <w:numId w:val="1"/>
        </w:numPr>
        <w:spacing w:after="60"/>
      </w:pPr>
      <w:r>
        <w:rPr>
          <w:rFonts w:ascii="Calibri" w:cs="Calibri" w:eastAsia="Calibri" w:hAnsi="Calibri"/>
          <w:color w:val="12212E"/>
          <w:sz w:val="21"/>
          <w:szCs w:val="21"/>
        </w:rPr>
        <w:t xml:space="preserve">Data flow map — architecture and data-flow diagram, drawn around the EEA boundary.</w:t>
      </w:r>
    </w:p>
    <w:p>
      <w:pPr>
        <w:pStyle w:val="ListParagraph"/>
        <w:numPr>
          <w:ilvl w:val="0"/>
          <w:numId w:val="1"/>
        </w:numPr>
        <w:spacing w:after="60"/>
      </w:pPr>
      <w:r>
        <w:rPr>
          <w:rFonts w:ascii="Calibri" w:cs="Calibri" w:eastAsia="Calibri" w:hAnsi="Calibri"/>
          <w:color w:val="12212E"/>
          <w:sz w:val="21"/>
          <w:szCs w:val="21"/>
        </w:rPr>
        <w:t xml:space="preserve">Processor documentation pack — sub-processor register, Article 30 processing record, and technical and organisational measures statement, formatted to drop into your own templates.</w:t>
      </w:r>
    </w:p>
    <w:p>
      <w:pPr>
        <w:pStyle w:val="ListParagraph"/>
        <w:numPr>
          <w:ilvl w:val="0"/>
          <w:numId w:val="1"/>
        </w:numPr>
        <w:spacing w:after="60"/>
      </w:pPr>
      <w:r>
        <w:rPr>
          <w:rFonts w:ascii="Calibri" w:cs="Calibri" w:eastAsia="Calibri" w:hAnsi="Calibri"/>
          <w:color w:val="12212E"/>
          <w:sz w:val="21"/>
          <w:szCs w:val="21"/>
        </w:rPr>
        <w:t xml:space="preserve">Technical architecture document — the detailed underlying review.</w:t>
      </w:r>
    </w:p>
    <w:p>
      <w:r>
        <w:br w:type="page"/>
      </w:r>
    </w:p>
    <w:p>
      <w:pPr>
        <w:pStyle w:val="Heading1"/>
        <w:spacing w:after="160" w:before="360"/>
      </w:pPr>
      <w:r>
        <w:rPr>
          <w:rFonts w:ascii="Calibri" w:cs="Calibri" w:eastAsia="Calibri" w:hAnsi="Calibri"/>
          <w:b/>
          <w:bCs/>
          <w:color w:val="14315C"/>
          <w:sz w:val="30"/>
          <w:szCs w:val="30"/>
        </w:rPr>
        <w:t xml:space="preserve">Outstanding actions</w:t>
      </w:r>
    </w:p>
    <w:p>
      <w:pPr>
        <w:spacing w:after="120"/>
      </w:pPr>
      <w:r>
        <w:rPr>
          <w:rFonts w:ascii="Calibri" w:cs="Calibri" w:eastAsia="Calibri" w:hAnsi="Calibri"/>
          <w:b w:val="false"/>
          <w:bCs w:val="false"/>
          <w:i w:val="false"/>
          <w:iCs w:val="false"/>
          <w:color w:val="12212E"/>
          <w:sz w:val="21"/>
          <w:szCs w:val="21"/>
        </w:rPr>
        <w:t xml:space="preserve">In the order we would tackle them.</w:t>
      </w:r>
    </w:p>
    <w:p>
      <w:pPr>
        <w:spacing w:after="60" w:before="100"/>
      </w:pPr>
      <w:r>
        <w:rPr>
          <w:rFonts w:ascii="Calibri" w:cs="Calibri" w:eastAsia="Calibri" w:hAnsi="Calibri"/>
          <w:b/>
          <w:bCs/>
          <w:caps/>
          <w:color w:val="0C7D72"/>
          <w:sz w:val="19"/>
          <w:szCs w:val="19"/>
        </w:rPr>
        <w:t xml:space="preserve">Requires your 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rPr>
          <w:tblHeader/>
        </w:trPr>
        <w:tc>
          <w:tcPr>
            <w:tcW w:type="dxa" w:w="7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w:t>
            </w:r>
          </w:p>
        </w:tc>
        <w:tc>
          <w:tcPr>
            <w:tcW w:type="dxa" w:w="63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Action</w:t>
            </w:r>
          </w:p>
        </w:tc>
        <w:tc>
          <w:tcPr>
            <w:tcW w:type="dxa" w:w="20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Why it matters</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1</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Enable an EU-resident OpenAI project and request Zero Data Retention</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Closes the only route by which patient data leaves the EEA. External lead time — start first.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2</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Confirm and switch Resend to an EU region</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Letters and transcripts are emailed through it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3</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Obtain written confirmation of Deepgram's retention setting; request an EU-scoped key</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Evidence for the DPIA, plus hardening</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4</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Delete the retired function in the Supabase dashboard</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Removing it from the codebase does not undeploy it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5</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Commission an independent penetration test</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Expected for DTAC</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6</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Retrieve and file dated copies of each provider's data processing agreement</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Reviewers ask which agreement version applies</w:t>
            </w:r>
          </w:p>
        </w:tc>
      </w:tr>
    </w:tbl>
    <w:p>
      <w:pPr>
        <w:spacing w:after="160"/>
      </w:pPr>
    </w:p>
    <w:p>
      <w:pPr>
        <w:spacing w:after="60" w:before="100"/>
      </w:pPr>
      <w:r>
        <w:rPr>
          <w:rFonts w:ascii="Calibri" w:cs="Calibri" w:eastAsia="Calibri" w:hAnsi="Calibri"/>
          <w:b/>
          <w:bCs/>
          <w:caps/>
          <w:color w:val="0C7D72"/>
          <w:sz w:val="19"/>
          <w:szCs w:val="19"/>
        </w:rPr>
        <w:t xml:space="preserve">Development work, to be scoped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rPr>
          <w:tblHeader/>
        </w:trPr>
        <w:tc>
          <w:tcPr>
            <w:tcW w:type="dxa" w:w="7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w:t>
            </w:r>
          </w:p>
        </w:tc>
        <w:tc>
          <w:tcPr>
            <w:tcW w:type="dxa" w:w="63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Item</w:t>
            </w:r>
          </w:p>
        </w:tc>
        <w:tc>
          <w:tcPr>
            <w:tcW w:type="dxa" w:w="20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Driver</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1</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Per-patient location, export and deletion</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Likely DPIA requirement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2</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Extend the audit trail to logins, record access and letter generation</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Likely DSPT requirement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3</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Cross-user access tests against a live database</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Strongest single addition to DTAC evidence</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4</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Multi-factor authentication and password reset</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Expected for special category data</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5</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Delete or relocate the idle legacy service</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Removes a US processor from the estate</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6</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Separate staging environment</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Removes production risk from development</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7</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Self-host web fonts</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Removes a US recipient of clinician IP addresses</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8</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Redact vendor error responses before logging</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Closes a low-likelihood logging path</w:t>
            </w:r>
          </w:p>
        </w:tc>
      </w:tr>
      <w:tr>
        <w:trPr>
          <w:tblHeader w:val="false"/>
        </w:trPr>
        <w:tc>
          <w:tcPr>
            <w:tcW w:type="dxa" w:w="700"/>
            <w:tcMar>
              <w:top w:type="dxa" w:w="80"/>
              <w:left w:type="dxa" w:w="120"/>
              <w:bottom w:type="dxa" w:w="80"/>
              <w:right w:type="dxa" w:w="120"/>
            </w:tcMar>
          </w:tcPr>
          <w:p>
            <w:r>
              <w:rPr>
                <w:rFonts w:ascii="Calibri" w:cs="Calibri" w:eastAsia="Calibri" w:hAnsi="Calibri"/>
                <w:b w:val="false"/>
                <w:bCs w:val="false"/>
                <w:color w:val="12212E"/>
                <w:sz w:val="19"/>
                <w:szCs w:val="19"/>
              </w:rPr>
              <w:t xml:space="preserve">9</w:t>
            </w:r>
          </w:p>
        </w:tc>
        <w:tc>
          <w:tcPr>
            <w:tcW w:type="dxa" w:w="6326"/>
            <w:tcMar>
              <w:top w:type="dxa" w:w="80"/>
              <w:left w:type="dxa" w:w="120"/>
              <w:bottom w:type="dxa" w:w="80"/>
              <w:right w:type="dxa" w:w="120"/>
            </w:tcMar>
          </w:tcPr>
          <w:p>
            <w:r>
              <w:rPr>
                <w:rFonts w:ascii="Calibri" w:cs="Calibri" w:eastAsia="Calibri" w:hAnsi="Calibri"/>
                <w:b w:val="false"/>
                <w:bCs w:val="false"/>
                <w:color w:val="12212E"/>
                <w:sz w:val="19"/>
                <w:szCs w:val="19"/>
              </w:rPr>
              <w:t xml:space="preserve">Dependency vulnerability scanning</w:t>
            </w:r>
          </w:p>
        </w:tc>
        <w:tc>
          <w:tcPr>
            <w:tcW w:type="dxa" w:w="2000"/>
            <w:tcMar>
              <w:top w:type="dxa" w:w="80"/>
              <w:left w:type="dxa" w:w="120"/>
              <w:bottom w:type="dxa" w:w="80"/>
              <w:right w:type="dxa" w:w="120"/>
            </w:tcMar>
          </w:tcPr>
          <w:p>
            <w:r>
              <w:rPr>
                <w:rFonts w:ascii="Calibri" w:cs="Calibri" w:eastAsia="Calibri" w:hAnsi="Calibri"/>
                <w:b w:val="false"/>
                <w:bCs w:val="false"/>
                <w:color w:val="12212E"/>
                <w:sz w:val="19"/>
                <w:szCs w:val="19"/>
              </w:rPr>
              <w:t xml:space="preserve">Continuous assurance</w:t>
            </w:r>
          </w:p>
        </w:tc>
      </w:tr>
    </w:tbl>
    <w:p>
      <w:pPr>
        <w:spacing w:after="160"/>
      </w:pPr>
    </w:p>
    <w:p>
      <w:pPr>
        <w:spacing w:after="60" w:before="100"/>
      </w:pPr>
      <w:r>
        <w:rPr>
          <w:rFonts w:ascii="Calibri" w:cs="Calibri" w:eastAsia="Calibri" w:hAnsi="Calibri"/>
          <w:b/>
          <w:bCs/>
          <w:caps/>
          <w:color w:val="0C7D72"/>
          <w:sz w:val="19"/>
          <w:szCs w:val="19"/>
        </w:rPr>
        <w:t xml:space="preserve">Sitting outside development</w:t>
      </w:r>
    </w:p>
    <w:p>
      <w:pPr>
        <w:spacing w:after="120"/>
      </w:pPr>
      <w:r>
        <w:rPr>
          <w:rFonts w:ascii="Calibri" w:cs="Calibri" w:eastAsia="Calibri" w:hAnsi="Calibri"/>
          <w:b w:val="false"/>
          <w:bCs w:val="false"/>
          <w:i w:val="false"/>
          <w:iCs w:val="false"/>
          <w:color w:val="12212E"/>
          <w:sz w:val="21"/>
          <w:szCs w:val="21"/>
        </w:rPr>
        <w:t xml:space="preserve">Noted for completeness so responsibilities are unambiguous, not to decline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Item</w:t>
            </w:r>
          </w:p>
        </w:tc>
        <w:tc>
          <w:tcPr>
            <w:tcW w:type="dxa" w:w="6226"/>
            <w:shd w:fill="EEF3F7" w:color="auto" w:val="clear"/>
            <w:tcMar>
              <w:top w:type="dxa" w:w="80"/>
              <w:left w:type="dxa" w:w="120"/>
              <w:bottom w:type="dxa" w:w="80"/>
              <w:right w:type="dxa" w:w="120"/>
            </w:tcMar>
          </w:tcPr>
          <w:p>
            <w:r>
              <w:rPr>
                <w:rFonts w:ascii="Calibri" w:cs="Calibri" w:eastAsia="Calibri" w:hAnsi="Calibri"/>
                <w:b/>
                <w:bCs/>
                <w:color w:val="4A5C6E"/>
                <w:sz w:val="17"/>
                <w:szCs w:val="17"/>
              </w:rPr>
              <w:t xml:space="preserve">Owner and reason</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The DPIA itself</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NoteMD and its DPO. The assessment of necessity, proportionality and risk to data subjects is the controller's, informed by this evidence.</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Lawful basis and Article 9 condition</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DPO — a legal determination.</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DSPT submission</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NoteMD's information governance lead — an organisational assertion.</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DCB0129 clinical safety</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NoteMD's Clinical Safety Officer. The standard requires a named CSO who is a registered clinician with clinical risk management training; the Clinical Risk Management Plan, Hazard Log and Clinical Safety Case Report must be authored and signed by that person. We can supply technical input to the hazard analysis but cannot own or sign these.</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Penetration test procurement and management</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NoteMD — independence is what gives the test its value.</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Remediation arising from the penetration test</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Scoped separately once the report exists; findings and effort cannot be known in advance.</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Provider contracts and configuration</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NoteMD — data processing agreements, Zero Data Retention and EU project enablement require signature by the controller.</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Transfer risk assessments</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DPO — written assessments, not supplied by any vendor.</w:t>
            </w:r>
          </w:p>
        </w:tc>
      </w:tr>
      <w:tr>
        <w:trPr>
          <w:tblHeader w:val="false"/>
        </w:trPr>
        <w:tc>
          <w:tcPr>
            <w:tcW w:type="dxa" w:w="2800"/>
            <w:tcMar>
              <w:top w:type="dxa" w:w="80"/>
              <w:left w:type="dxa" w:w="120"/>
              <w:bottom w:type="dxa" w:w="80"/>
              <w:right w:type="dxa" w:w="120"/>
            </w:tcMar>
          </w:tcPr>
          <w:p>
            <w:r>
              <w:rPr>
                <w:rFonts w:ascii="Calibri" w:cs="Calibri" w:eastAsia="Calibri" w:hAnsi="Calibri"/>
                <w:b w:val="false"/>
                <w:bCs w:val="false"/>
                <w:color w:val="12212E"/>
                <w:sz w:val="19"/>
                <w:szCs w:val="19"/>
              </w:rPr>
              <w:t xml:space="preserve">Patient-facing privacy notices</w:t>
            </w:r>
          </w:p>
        </w:tc>
        <w:tc>
          <w:tcPr>
            <w:tcW w:type="dxa" w:w="6226"/>
            <w:tcMar>
              <w:top w:type="dxa" w:w="80"/>
              <w:left w:type="dxa" w:w="120"/>
              <w:bottom w:type="dxa" w:w="80"/>
              <w:right w:type="dxa" w:w="120"/>
            </w:tcMar>
          </w:tcPr>
          <w:p>
            <w:r>
              <w:rPr>
                <w:rFonts w:ascii="Calibri" w:cs="Calibri" w:eastAsia="Calibri" w:hAnsi="Calibri"/>
                <w:b w:val="false"/>
                <w:bCs w:val="false"/>
                <w:color w:val="12212E"/>
                <w:sz w:val="19"/>
                <w:szCs w:val="19"/>
              </w:rPr>
              <w:t xml:space="preserve">The controller organisations.</w:t>
            </w:r>
          </w:p>
        </w:tc>
      </w:tr>
    </w:tbl>
    <w:p>
      <w:pPr>
        <w:spacing w:after="200"/>
      </w:pPr>
    </w:p>
    <w:p>
      <w:pPr>
        <w:pBdr>
          <w:bottom w:val="single" w:color="DCE5EC" w:sz="6" w:space="1"/>
        </w:pBdr>
        <w:spacing w:after="200" w:before="200"/>
      </w:pPr>
    </w:p>
    <w:p>
      <w:pPr>
        <w:spacing w:after="120"/>
      </w:pPr>
      <w:r>
        <w:rPr>
          <w:rFonts w:ascii="Calibri" w:cs="Calibri" w:eastAsia="Calibri" w:hAnsi="Calibri"/>
          <w:b w:val="false"/>
          <w:bCs w:val="false"/>
          <w:i/>
          <w:iCs/>
          <w:color w:val="4A5C6E"/>
          <w:sz w:val="21"/>
          <w:szCs w:val="21"/>
        </w:rPr>
        <w:t xml:space="preserve">Prepared by the development team as technical evidence of the system as built. Not legal advice. Until Zero Data Retention is in place, our recommendation is that pilots and demonstrations use synthetic or anonymised data rather than identifiable patient records.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212E"/>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NoteMD Technical Review Response</dc:title>
  <dc:creator>Valoco</dc:creator>
  <dc:description>Response to the NoteMD technical requirements request for DPIA, DSPT and DTAC</dc:description>
  <cp:lastModifiedBy>Un-named</cp:lastModifiedBy>
  <cp:revision>1</cp:revision>
  <dcterms:created xsi:type="dcterms:W3CDTF">2026-08-28T09:56:51.800Z</dcterms:created>
  <dcterms:modified xsi:type="dcterms:W3CDTF">2026-08-28T09:56:51.801Z</dcterms:modified>
</cp:coreProperties>
</file>

<file path=docProps/custom.xml><?xml version="1.0" encoding="utf-8"?>
<Properties xmlns="http://schemas.openxmlformats.org/officeDocument/2006/custom-properties" xmlns:vt="http://schemas.openxmlformats.org/officeDocument/2006/docPropsVTypes"/>
</file>