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BlockText"/>
      </w:pPr>
      <w:r>
        <w:t xml:space="preserve">The</w:t>
      </w:r>
      <w:r>
        <w:t xml:space="preserve"> </w:t>
      </w:r>
      <w:r>
        <w:t xml:space="preserve">notebook</w:t>
      </w:r>
      <w:r>
        <w:t xml:space="preserve"> </w:t>
      </w:r>
      <w:r>
        <w:t xml:space="preserve">should</w:t>
      </w:r>
      <w:r>
        <w:t xml:space="preserve"> </w:t>
      </w:r>
      <w:r>
        <w:t xml:space="preserve">begin</w:t>
      </w:r>
      <w:r>
        <w:t xml:space="preserve"> </w:t>
      </w:r>
      <w:r>
        <w:t xml:space="preserve">with</w:t>
      </w:r>
      <w:r>
        <w:t xml:space="preserve"> </w:t>
      </w:r>
      <w:r>
        <w:t xml:space="preserve">a</w:t>
      </w:r>
      <w:r>
        <w:t xml:space="preserve"> </w:t>
      </w:r>
      <w:r>
        <w:t xml:space="preserve">single</w:t>
      </w:r>
      <w:r>
        <w:t xml:space="preserve"> </w:t>
      </w:r>
      <w:r>
        <w:t xml:space="preserve">markdown</w:t>
      </w:r>
      <w:r>
        <w:t xml:space="preserve"> </w:t>
      </w:r>
      <w:r>
        <w:t xml:space="preserve">cell</w:t>
      </w:r>
      <w:r>
        <w:t xml:space="preserve"> </w:t>
      </w:r>
      <w:r>
        <w:t xml:space="preserve">which</w:t>
      </w:r>
      <w:r>
        <w:t xml:space="preserve"> </w:t>
      </w:r>
      <w:r>
        <w:t xml:space="preserve">contains</w:t>
      </w:r>
      <w:r>
        <w:t xml:space="preserve"> </w:t>
      </w:r>
      <w:r>
        <w:t xml:space="preserve">document</w:t>
      </w:r>
      <w:r>
        <w:t xml:space="preserve"> </w:t>
      </w:r>
      <w:r>
        <w:t xml:space="preserve">front</w:t>
      </w:r>
      <w:r>
        <w:t xml:space="preserve"> </w:t>
      </w:r>
      <w:r>
        <w:t xml:space="preserve">matter</w:t>
      </w:r>
      <w:r>
        <w:t xml:space="preserve"> </w:t>
      </w:r>
      <w:r>
        <w:t xml:space="preserve">(such</w:t>
      </w:r>
      <w:r>
        <w:t xml:space="preserve"> </w:t>
      </w:r>
      <w:r>
        <w:t xml:space="preserve">as</w:t>
      </w:r>
      <w:r>
        <w:t xml:space="preserve"> </w:t>
      </w:r>
      <w:r>
        <w:t xml:space="preserve">the</w:t>
      </w:r>
      <w:r>
        <w:t xml:space="preserve"> </w:t>
      </w:r>
      <w:r>
        <w:t xml:space="preserve">title,</w:t>
      </w:r>
      <w:r>
        <w:t xml:space="preserve"> </w:t>
      </w:r>
      <w:r>
        <w:t xml:space="preserve">author</w:t>
      </w:r>
      <w:r>
        <w:t xml:space="preserve"> </w:t>
      </w:r>
      <w:r>
        <w:t xml:space="preserve">data,</w:t>
      </w:r>
      <w:r>
        <w:t xml:space="preserve"> </w:t>
      </w:r>
      <w:r>
        <w:t xml:space="preserve">license,</w:t>
      </w:r>
      <w:r>
        <w:t xml:space="preserve"> </w:t>
      </w:r>
      <w:r>
        <w:t xml:space="preserve">abstract,</w:t>
      </w:r>
      <w:r>
        <w:t xml:space="preserve"> </w:t>
      </w:r>
      <w:r>
        <w:t xml:space="preserve">and</w:t>
      </w:r>
      <w:r>
        <w:t xml:space="preserve"> </w:t>
      </w:r>
      <w:r>
        <w:t xml:space="preserve">more).</w:t>
      </w:r>
    </w:p>
    <w:p>
      <w:pPr>
        <w:pStyle w:val="BlockText"/>
      </w:pPr>
      <w:r>
        <w:t xml:space="preserve">The</w:t>
      </w:r>
      <w:r>
        <w:t xml:space="preserve"> </w:t>
      </w:r>
      <w:r>
        <w:t xml:space="preserve">abstract</w:t>
      </w:r>
      <w:r>
        <w:t xml:space="preserve"> </w:t>
      </w:r>
      <w:r>
        <w:t xml:space="preserve">should</w:t>
      </w:r>
      <w:r>
        <w:t xml:space="preserve"> </w:t>
      </w:r>
      <w:r>
        <w:t xml:space="preserve">begin</w:t>
      </w:r>
      <w:r>
        <w:t xml:space="preserve"> </w:t>
      </w:r>
      <w:r>
        <w:t xml:space="preserve">with</w:t>
      </w:r>
      <w:r>
        <w:t xml:space="preserve"> </w:t>
      </w:r>
      <w:r>
        <w:t xml:space="preserve">a</w:t>
      </w:r>
      <w:r>
        <w:t xml:space="preserve"> </w:t>
      </w:r>
      <w:r>
        <w:t xml:space="preserve">short</w:t>
      </w:r>
      <w:r>
        <w:t xml:space="preserve"> </w:t>
      </w:r>
      <w:r>
        <w:t xml:space="preserve">description</w:t>
      </w:r>
      <w:r>
        <w:t xml:space="preserve"> </w:t>
      </w:r>
      <w:r>
        <w:t xml:space="preserve">of</w:t>
      </w:r>
      <w:r>
        <w:t xml:space="preserve"> </w:t>
      </w:r>
      <w:r>
        <w:t xml:space="preserve">the</w:t>
      </w:r>
      <w:r>
        <w:t xml:space="preserve"> </w:t>
      </w:r>
      <w:r>
        <w:t xml:space="preserve">problem</w:t>
      </w:r>
      <w:r>
        <w:t xml:space="preserve"> </w:t>
      </w:r>
      <w:r>
        <w:t xml:space="preserve">addressed,</w:t>
      </w:r>
      <w:r>
        <w:t xml:space="preserve"> </w:t>
      </w:r>
      <w:r>
        <w:t xml:space="preserve">briefly</w:t>
      </w:r>
      <w:r>
        <w:t xml:space="preserve"> </w:t>
      </w:r>
      <w:r>
        <w:t xml:space="preserve">describe</w:t>
      </w:r>
      <w:r>
        <w:t xml:space="preserve"> </w:t>
      </w:r>
      <w:r>
        <w:t xml:space="preserve">the</w:t>
      </w:r>
      <w:r>
        <w:t xml:space="preserve"> </w:t>
      </w:r>
      <w:r>
        <w:t xml:space="preserve">new</w:t>
      </w:r>
      <w:r>
        <w:t xml:space="preserve"> </w:t>
      </w:r>
      <w:r>
        <w:t xml:space="preserve">data</w:t>
      </w:r>
      <w:r>
        <w:t xml:space="preserve"> </w:t>
      </w:r>
      <w:r>
        <w:t xml:space="preserve">or</w:t>
      </w:r>
      <w:r>
        <w:t xml:space="preserve"> </w:t>
      </w:r>
      <w:r>
        <w:t xml:space="preserve">analyses,</w:t>
      </w:r>
      <w:r>
        <w:t xml:space="preserve"> </w:t>
      </w:r>
      <w:r>
        <w:t xml:space="preserve">then</w:t>
      </w:r>
      <w:r>
        <w:t xml:space="preserve"> </w:t>
      </w:r>
      <w:r>
        <w:t xml:space="preserve">briefly</w:t>
      </w:r>
      <w:r>
        <w:t xml:space="preserve"> </w:t>
      </w:r>
      <w:r>
        <w:t xml:space="preserve">state</w:t>
      </w:r>
      <w:r>
        <w:t xml:space="preserve"> </w:t>
      </w:r>
      <w:r>
        <w:t xml:space="preserve">the</w:t>
      </w:r>
      <w:r>
        <w:t xml:space="preserve"> </w:t>
      </w:r>
      <w:r>
        <w:t xml:space="preserve">main</w:t>
      </w:r>
      <w:r>
        <w:t xml:space="preserve"> </w:t>
      </w:r>
      <w:r>
        <w:t xml:space="preserve">conclusion(s)</w:t>
      </w:r>
      <w:r>
        <w:t xml:space="preserve"> </w:t>
      </w:r>
      <w:r>
        <w:t xml:space="preserve">and</w:t>
      </w:r>
      <w:r>
        <w:t xml:space="preserve"> </w:t>
      </w:r>
      <w:r>
        <w:t xml:space="preserve">how</w:t>
      </w:r>
      <w:r>
        <w:t xml:space="preserve"> </w:t>
      </w:r>
      <w:r>
        <w:t xml:space="preserve">they</w:t>
      </w:r>
      <w:r>
        <w:t xml:space="preserve"> </w:t>
      </w:r>
      <w:r>
        <w:t xml:space="preserve">are</w:t>
      </w:r>
      <w:r>
        <w:t xml:space="preserve"> </w:t>
      </w:r>
      <w:r>
        <w:t xml:space="preserve">supported,</w:t>
      </w:r>
      <w:r>
        <w:t xml:space="preserve"> </w:t>
      </w:r>
      <w:r>
        <w:t xml:space="preserve">and</w:t>
      </w:r>
      <w:r>
        <w:t xml:space="preserve"> </w:t>
      </w:r>
      <w:r>
        <w:t xml:space="preserve">address</w:t>
      </w:r>
      <w:r>
        <w:t xml:space="preserve"> </w:t>
      </w:r>
      <w:r>
        <w:t xml:space="preserve">any</w:t>
      </w:r>
      <w:r>
        <w:t xml:space="preserve"> </w:t>
      </w:r>
      <w:r>
        <w:t xml:space="preserve">uncertainty.</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2"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7"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71422"/>
            <wp:effectExtent b="0" l="0" r="0" t="0"/>
            <wp:docPr descr="" title="" id="45" name="Picture"/>
            <a:graphic>
              <a:graphicData uri="http://schemas.openxmlformats.org/drawingml/2006/picture">
                <pic:pic>
                  <pic:nvPicPr>
                    <pic:cNvPr descr="article_files/figure-docx/cell-8-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bookmarkEnd w:id="47"/>
    <w:bookmarkStart w:id="51" w:name="cumulative-distribution-plots"/>
    <w:p>
      <w:pPr>
        <w:pStyle w:val="Heading2"/>
      </w:pPr>
      <w:r>
        <w:t xml:space="preserve">Cumulative Distribution Plots</w:t>
      </w:r>
    </w:p>
    <w:p>
      <w:pPr>
        <w:pStyle w:val="FirstParagraph"/>
      </w:pPr>
      <w:r>
        <w:drawing>
          <wp:inline>
            <wp:extent cx="5334000" cy="5460807"/>
            <wp:effectExtent b="0" l="0" r="0" t="0"/>
            <wp:docPr descr="" title="" id="49" name="Picture"/>
            <a:graphic>
              <a:graphicData uri="http://schemas.openxmlformats.org/drawingml/2006/picture">
                <pic:pic>
                  <pic:nvPicPr>
                    <pic:cNvPr descr="article_files/figure-docx/cell-10-output-1.png" id="50" name="Picture"/>
                    <pic:cNvPicPr>
                      <a:picLocks noChangeArrowheads="1" noChangeAspect="1"/>
                    </pic:cNvPicPr>
                  </pic:nvPicPr>
                  <pic:blipFill>
                    <a:blip r:embed="rId48"/>
                    <a:stretch>
                      <a:fillRect/>
                    </a:stretch>
                  </pic:blipFill>
                  <pic:spPr bwMode="auto">
                    <a:xfrm>
                      <a:off x="0" y="0"/>
                      <a:ext cx="5334000" cy="5460807"/>
                    </a:xfrm>
                    <a:prstGeom prst="rect">
                      <a:avLst/>
                    </a:prstGeom>
                    <a:noFill/>
                    <a:ln w="9525">
                      <a:noFill/>
                      <a:headEnd/>
                      <a:tailEnd/>
                    </a:ln>
                  </pic:spPr>
                </pic:pic>
              </a:graphicData>
            </a:graphic>
          </wp:inline>
        </w:drawing>
      </w:r>
    </w:p>
    <w:bookmarkEnd w:id="51"/>
    <w:bookmarkEnd w:id="52"/>
    <w:bookmarkStart w:id="53"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3"/>
    <w:bookmarkStart w:id="58"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article</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7" w:name="references"/>
    <w:p>
      <w:pPr>
        <w:pStyle w:val="Heading2"/>
      </w:pPr>
      <w:r>
        <w:t xml:space="preserve">References</w:t>
      </w:r>
    </w:p>
    <w:bookmarkStart w:id="56" w:name="refs"/>
    <w:bookmarkStart w:id="55"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4">
        <w:r>
          <w:rPr>
            <w:rStyle w:val="Hyperlink"/>
          </w:rPr>
          <w:t xml:space="preserve">https://doi.org/10.1186/s13617-019-0085-5</w:t>
        </w:r>
      </w:hyperlink>
      <w:r>
        <w:t xml:space="preserve">.</w:t>
      </w:r>
    </w:p>
    <w:bookmarkEnd w:id="55"/>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2023-05-01T21:23:42Z</dcterms:created>
  <dcterms:modified xsi:type="dcterms:W3CDTF">2023-05-01T21:23:42Z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notebook should begin with a single markdown cell which contains document front matter (such as the title, author data, license, abstract, and more).The abstract should begin with a short description of the problem addressed, briefly describe the new data or analyses, then briefly state the main conclusion(s) and how they are supported, and address any uncertainty.In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cense">
    <vt:lpwstr/>
  </property>
  <property fmtid="{D5CDD505-2E9C-101B-9397-08002B2CF9AE}" pid="18" name="manuscript">
    <vt:lpwstr/>
  </property>
  <property fmtid="{D5CDD505-2E9C-101B-9397-08002B2CF9AE}" pid="19" name="toc-title">
    <vt:lpwstr>Table of contents</vt:lpwstr>
  </property>
</Properties>
</file>