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5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13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-300990</wp:posOffset>
                </wp:positionH>
                <wp:positionV relativeFrom="paragraph">
                  <wp:posOffset>3489325</wp:posOffset>
                </wp:positionV>
                <wp:extent cx="6961505" cy="5210175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960" cy="52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7960" cy="4760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720" cy="53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6711840" cy="393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Security Tools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Lab 11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7200" y="3934440"/>
                              <a:ext cx="6657840" cy="82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ITSC 200: Network Protocols and Security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96280" y="4933800"/>
                            <a:ext cx="2164680" cy="2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23.7pt;margin-top:274.75pt;width:548.1pt;height:410.2pt" coordorigin="-474,5495" coordsize="10962,8204">
                <v:group id="shape_0" alt="Group 30" style="position:absolute;left:-474;top:5495;width:10863;height:7497">
                  <v:rect id="shape_0" ID="Text Box 4" stroked="f" style="position:absolute;left:-474;top:5495;width:7512;height:836">
                    <w10:wrap type="none"/>
                    <v:fill o:detectmouseclick="t" on="false"/>
                    <v:stroke color="#3465a4" joinstyle="round" endcap="flat"/>
                  </v:rect>
                  <v:rect id="shape_0" ID="Text Box 5" stroked="f" style="position:absolute;left:-181;top:5495;width:10569;height:6194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Security Tools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Lab 11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Text Box 6" stroked="f" style="position:absolute;left:-179;top:11691;width:10484;height:130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ITSC 200: Network Protocols and Security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ID="Text Box 2" stroked="f" style="position:absolute;left:7079;top:13265;width:3408;height:433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004171237"/>
      </w:sdtPr>
      <w:sdtContent>
        <w:p>
          <w:pPr>
            <w:pStyle w:val="TOCHeading"/>
            <w:tabs>
              <w:tab w:val="left" w:pos="3960" w:leader="none"/>
            </w:tabs>
            <w:rPr/>
          </w:pPr>
          <w:r>
            <w:rPr/>
            <w:t>Table of Contents</w:t>
            <w:tab/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5173395">
            <w:r>
              <w:rPr>
                <w:webHidden/>
                <w:rStyle w:val="IndexLink"/>
              </w:rPr>
              <w:t>Lab Outcome(s)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6">
            <w:r>
              <w:rPr>
                <w:webHidden/>
                <w:rStyle w:val="IndexLink"/>
              </w:rPr>
              <w:t>Reading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7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left" w:pos="660" w:leader="none"/>
              <w:tab w:val="right" w:pos="9350" w:leader="dot"/>
            </w:tabs>
            <w:rPr/>
          </w:pPr>
          <w:hyperlink w:anchor="_Toc465173398">
            <w:r>
              <w:rPr>
                <w:webHidden/>
                <w:rStyle w:val="IndexLink"/>
              </w:rPr>
              <w:t>Installing Port Sentry, ARPWatch, Fail2ban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400">
            <w:r>
              <w:rPr>
                <w:webHidden/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Style1"/>
        <w:rPr/>
      </w:pPr>
      <w:bookmarkStart w:id="0" w:name="_Toc465173395"/>
      <w:bookmarkStart w:id="1" w:name="_Toc452022643"/>
      <w:r>
        <w:rPr/>
        <w:t>Lab Outcome</w:t>
      </w:r>
      <w:bookmarkEnd w:id="1"/>
      <w:r>
        <w:rPr/>
        <w:t>(s)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Install Port Sentry, ARPWatch, and Fail2ban.</w:t>
      </w:r>
    </w:p>
    <w:p>
      <w:pPr>
        <w:pStyle w:val="ListParagraph"/>
        <w:numPr>
          <w:ilvl w:val="0"/>
          <w:numId w:val="1"/>
        </w:numPr>
        <w:rPr/>
      </w:pPr>
      <w:r>
        <w:rPr/>
        <w:t>Learn how iptables displays rules.</w:t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2" w:name="_Toc465173396"/>
      <w:r>
        <w:rPr/>
        <w:t>Reading</w:t>
      </w:r>
      <w:bookmarkEnd w:id="2"/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3" w:name="_Toc465173397"/>
      <w:bookmarkStart w:id="4" w:name="_Toc452022645"/>
      <w:r>
        <w:rPr/>
        <w:t>Introduction</w:t>
      </w:r>
      <w:bookmarkEnd w:id="3"/>
      <w:bookmarkEnd w:id="4"/>
    </w:p>
    <w:p>
      <w:pPr>
        <w:pStyle w:val="Normal"/>
        <w:rPr/>
      </w:pPr>
      <w:r>
        <w:rPr/>
        <w:t>This lab is to practice the installation of several security tools that help secure a Linux host from attackers. It also demonstrates how iptables rules are used to dynamically block unwanted traffic.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</w:r>
      <w:r>
        <w:br w:type="page"/>
      </w:r>
    </w:p>
    <w:p>
      <w:pPr>
        <w:pStyle w:val="HeadingStyle1"/>
        <w:ind w:left="720" w:hanging="0"/>
        <w:rPr/>
      </w:pPr>
      <w:r>
        <w:rPr/>
      </w:r>
    </w:p>
    <w:p>
      <w:pPr>
        <w:pStyle w:val="HeadingStyle1"/>
        <w:numPr>
          <w:ilvl w:val="0"/>
          <w:numId w:val="4"/>
        </w:numPr>
        <w:rPr/>
      </w:pPr>
      <w:r>
        <w:rPr/>
        <w:t>Installing security tools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Using the Linux Mint install that you did earlier in the course, install several tools that will help you protect your computer.</w:t>
      </w:r>
      <w:bookmarkStart w:id="5" w:name="_Toc465173400"/>
      <w:r>
        <w:rPr>
          <w:b w:val="false"/>
          <w:sz w:val="24"/>
          <w:szCs w:val="24"/>
        </w:rPr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Use the lecture material to </w:t>
      </w:r>
      <w:r>
        <w:rPr>
          <w:b w:val="false"/>
          <w:sz w:val="24"/>
          <w:szCs w:val="24"/>
        </w:rPr>
        <w:t xml:space="preserve">help you </w:t>
      </w:r>
      <w:r>
        <w:rPr>
          <w:b w:val="false"/>
          <w:sz w:val="24"/>
          <w:szCs w:val="24"/>
        </w:rPr>
        <w:t>install ARPWatch on your Linux Mint computer.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After about 20 seconds, tail the /var/log/syslog file.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Can you see any new MAC addresses listed ?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Note that a “-f” can be used with the tail command to watch a log file and see additional entries in real time. (use ctl-c to stop it)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Use the lecture material to install Fail2ban on your computer correctly.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Configure it to monitor your ssh server (if you don’t have an ssh server running, go ahead and install it with “sudo apt-get install openssh-server”).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>From your real computer</w:t>
      </w:r>
      <w:r>
        <w:rPr>
          <w:b w:val="false"/>
          <w:sz w:val="24"/>
          <w:szCs w:val="24"/>
        </w:rPr>
        <w:t xml:space="preserve"> “ssh blah@&lt;your </w:t>
      </w:r>
      <w:r>
        <w:rPr>
          <w:b w:val="false"/>
          <w:sz w:val="24"/>
          <w:szCs w:val="24"/>
        </w:rPr>
        <w:t>vm</w:t>
      </w:r>
      <w:r>
        <w:rPr>
          <w:b w:val="false"/>
          <w:sz w:val="24"/>
          <w:szCs w:val="24"/>
        </w:rPr>
        <w:t xml:space="preserve"> ip address&gt;” 4 or 5 times with a failed password.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Were they blocked eventually ? What message did they get when they tried to ssh into your computer again ?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Check your firewall (“sudo iptables –L”) to verify that their IP address was added as a firewall rule.</w:t>
        <w:br/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Use the lecture material to install Port Sentry correctly.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>From your real computer use Nmap to port scan</w:t>
      </w:r>
      <w:r>
        <w:rPr>
          <w:b w:val="false"/>
          <w:sz w:val="24"/>
          <w:szCs w:val="24"/>
        </w:rPr>
        <w:t xml:space="preserve"> the IP address of the Linux Mint.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Could </w:t>
      </w:r>
      <w:r>
        <w:rPr>
          <w:b w:val="false"/>
          <w:sz w:val="24"/>
          <w:szCs w:val="24"/>
        </w:rPr>
        <w:t>you</w:t>
      </w:r>
      <w:r>
        <w:rPr>
          <w:b w:val="false"/>
          <w:sz w:val="24"/>
          <w:szCs w:val="24"/>
        </w:rPr>
        <w:t xml:space="preserve"> ping your </w:t>
      </w:r>
      <w:r>
        <w:rPr>
          <w:b w:val="false"/>
          <w:sz w:val="24"/>
          <w:szCs w:val="24"/>
        </w:rPr>
        <w:t xml:space="preserve">Linux Mint </w:t>
      </w:r>
      <w:r>
        <w:rPr>
          <w:b w:val="false"/>
          <w:sz w:val="24"/>
          <w:szCs w:val="24"/>
        </w:rPr>
        <w:t>computer after ?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Could </w:t>
      </w:r>
      <w:r>
        <w:rPr>
          <w:b w:val="false"/>
          <w:sz w:val="24"/>
          <w:szCs w:val="24"/>
        </w:rPr>
        <w:t>you</w:t>
      </w:r>
      <w:r>
        <w:rPr>
          <w:b w:val="false"/>
          <w:sz w:val="24"/>
          <w:szCs w:val="24"/>
        </w:rPr>
        <w:t xml:space="preserve"> connect to your </w:t>
      </w:r>
      <w:r>
        <w:rPr>
          <w:b w:val="false"/>
          <w:sz w:val="24"/>
          <w:szCs w:val="24"/>
        </w:rPr>
        <w:t>Linux Mint</w:t>
      </w:r>
      <w:r>
        <w:rPr>
          <w:b w:val="false"/>
          <w:sz w:val="24"/>
          <w:szCs w:val="24"/>
        </w:rPr>
        <w:t xml:space="preserve"> computer on any port ?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Look into the port sentry host.deny file to verify that your </w:t>
      </w:r>
      <w:r>
        <w:rPr>
          <w:b w:val="false"/>
          <w:sz w:val="24"/>
          <w:szCs w:val="24"/>
        </w:rPr>
        <w:t>real computer’s</w:t>
      </w:r>
      <w:r>
        <w:rPr>
          <w:b w:val="false"/>
          <w:sz w:val="24"/>
          <w:szCs w:val="24"/>
        </w:rPr>
        <w:t xml:space="preserve"> IP address is listed.</w:t>
      </w:r>
    </w:p>
    <w:p>
      <w:pPr>
        <w:pStyle w:val="HeadingStyle1"/>
        <w:ind w:left="1440" w:hanging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Style1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Submission : </w:t>
      </w:r>
      <w:r>
        <w:rPr>
          <w:b w:val="false"/>
          <w:bCs w:val="false"/>
          <w:sz w:val="24"/>
          <w:szCs w:val="24"/>
        </w:rPr>
        <w:t>No lab submission.</w:t>
      </w:r>
    </w:p>
    <w:p>
      <w:pPr>
        <w:pStyle w:val="HeadingStyle1"/>
        <w:ind w:hanging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Style1"/>
        <w:spacing w:before="0" w:after="120"/>
        <w:rPr/>
      </w:pPr>
      <w:r>
        <w:rPr/>
        <w:t>References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https://www.tecmint.com/monitor-ethernet-activity-in-linux/</w:t>
        </w:r>
      </w:hyperlink>
    </w:p>
    <w:p>
      <w:pPr>
        <w:pStyle w:val="Normal"/>
        <w:rPr/>
      </w:pPr>
      <w:r>
        <w:rPr/>
      </w:r>
      <w:bookmarkStart w:id="6" w:name="_GoBack"/>
      <w:bookmarkStart w:id="7" w:name="_GoBack"/>
      <w:bookmarkEnd w:id="7"/>
    </w:p>
    <w:p>
      <w:pPr>
        <w:pStyle w:val="Normal"/>
        <w:rPr/>
      </w:pPr>
      <w:hyperlink r:id="rId4">
        <w:r>
          <w:rPr>
            <w:rStyle w:val="InternetLink"/>
          </w:rPr>
          <w:t>http://www.faqs.org/docs/securing/chap14sec117.html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https://adamscheller.com/systems-administration/fail2ban-ssh-ubuntu-debian-mint/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https://www.digitalocean.com/community/tutorials/how-to-protect-ssh-with-fail2ban-on-ubuntu-14-04</w:t>
        </w:r>
      </w:hyperlink>
    </w:p>
    <w:p>
      <w:pPr>
        <w:pStyle w:val="Normal"/>
        <w:rPr/>
      </w:pPr>
      <w:r>
        <w:rPr/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  <w:t>Blank page if necessary to make pages an even number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DO NOT DELETE THE SECTION BREAK BELOW. DELETING IT MAY IMPACT THE FORMATTING IN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11"/>
          <w:footerReference w:type="default" r:id="rId12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Security Tools Lab 11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Security Tools Lab 11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0051FB5C">
              <wp:simplePos x="0" y="0"/>
              <wp:positionH relativeFrom="column">
                <wp:posOffset>-8890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7pt,25.55pt" to="467.25pt,25.55pt" ID="Straight Connector 6" stroked="t" style="position:absolute;flip:x" wp14:anchorId="0051FB5C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Picture 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632B578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5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5" stroked="t" style="position:absolute;flip:x" wp14:anchorId="4632B578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" name="Picture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 wp14:anchorId="254EE6F9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7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8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0"/>
      <w:lvlJc w:val="left"/>
      <w:pPr>
        <w:ind w:left="660" w:hanging="660"/>
      </w:pPr>
      <w:rPr>
        <w:u w:val="single"/>
        <w:color w:val="0000FF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u w:val="single"/>
        <w:color w:val="0000F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u w:val="single"/>
        <w:color w:val="0000FF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u w:val="single"/>
        <w:color w:val="0000FF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u w:val="single"/>
        <w:color w:val="0000FF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u w:val="single"/>
        <w:color w:val="0000FF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u w:val="single"/>
        <w:color w:val="0000FF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u w:val="single"/>
        <w:color w:val="0000FF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u w:val="single"/>
        <w:color w:val="0000FF"/>
      </w:rPr>
    </w:lvl>
  </w:abstractNum>
  <w:abstractNum w:abstractNumId="4"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sz w:val="24"/>
        <w:b w:val="false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b57"/>
    <w:pPr>
      <w:widowControl/>
      <w:bidi w:val="0"/>
      <w:spacing w:lineRule="auto" w:line="276"/>
      <w:jc w:val="left"/>
    </w:pPr>
    <w:rPr>
      <w:rFonts w:ascii="Arial" w:hAnsi="Arial" w:cs="Arial" w:eastAsia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 w:val="true"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 w:val="true"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 w:val="true"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 w:val="true"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>
    <w:name w:val="Internet 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FF"/>
      <w:u w:val="single"/>
    </w:rPr>
  </w:style>
  <w:style w:type="character" w:styleId="ListLabel8">
    <w:name w:val="ListLabel 8"/>
    <w:qFormat/>
    <w:rPr>
      <w:color w:val="0000FF"/>
      <w:u w:val="single"/>
    </w:rPr>
  </w:style>
  <w:style w:type="character" w:styleId="ListLabel9">
    <w:name w:val="ListLabel 9"/>
    <w:qFormat/>
    <w:rPr>
      <w:color w:val="0000FF"/>
      <w:u w:val="single"/>
    </w:rPr>
  </w:style>
  <w:style w:type="character" w:styleId="ListLabel10">
    <w:name w:val="ListLabel 10"/>
    <w:qFormat/>
    <w:rPr>
      <w:color w:val="0000FF"/>
      <w:u w:val="single"/>
    </w:rPr>
  </w:style>
  <w:style w:type="character" w:styleId="ListLabel11">
    <w:name w:val="ListLabel 11"/>
    <w:qFormat/>
    <w:rPr>
      <w:color w:val="0000FF"/>
      <w:u w:val="single"/>
    </w:rPr>
  </w:style>
  <w:style w:type="character" w:styleId="ListLabel12">
    <w:name w:val="ListLabel 12"/>
    <w:qFormat/>
    <w:rPr>
      <w:color w:val="0000FF"/>
      <w:u w:val="single"/>
    </w:rPr>
  </w:style>
  <w:style w:type="character" w:styleId="ListLabel13">
    <w:name w:val="ListLabel 13"/>
    <w:qFormat/>
    <w:rPr>
      <w:color w:val="0000FF"/>
      <w:u w:val="single"/>
    </w:rPr>
  </w:style>
  <w:style w:type="character" w:styleId="ListLabel14">
    <w:name w:val="ListLabel 14"/>
    <w:qFormat/>
    <w:rPr>
      <w:color w:val="0000FF"/>
      <w:u w:val="single"/>
    </w:rPr>
  </w:style>
  <w:style w:type="character" w:styleId="ListLabel15">
    <w:name w:val="ListLabel 15"/>
    <w:qFormat/>
    <w:rPr>
      <w:color w:val="0000FF"/>
      <w:u w:val="single"/>
    </w:rPr>
  </w:style>
  <w:style w:type="character" w:styleId="ListLabel16">
    <w:name w:val="ListLabel 16"/>
    <w:qFormat/>
    <w:rPr>
      <w:b w:val="false"/>
      <w:sz w:val="24"/>
    </w:rPr>
  </w:style>
  <w:style w:type="character" w:styleId="ListLabel17">
    <w:name w:val="ListLabel 17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styleId="Source" w:customStyle="1">
    <w:name w:val="Source"/>
    <w:basedOn w:val="SAITCaption"/>
    <w:qFormat/>
    <w:rsid w:val="00c72591"/>
    <w:pPr>
      <w:spacing w:before="0" w:after="0"/>
    </w:pPr>
    <w:rPr>
      <w:b w:val="false"/>
      <w:sz w:val="20"/>
      <w:szCs w:val="20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tecmint.com/monitor-ethernet-activity-in-linux/" TargetMode="External"/><Relationship Id="rId4" Type="http://schemas.openxmlformats.org/officeDocument/2006/relationships/hyperlink" Target="http://www.faqs.org/docs/securing/chap14sec117.html" TargetMode="External"/><Relationship Id="rId5" Type="http://schemas.openxmlformats.org/officeDocument/2006/relationships/hyperlink" Target="https://adamscheller.com/systems-administration/fail2ban-ssh-ubuntu-debian-mint/" TargetMode="External"/><Relationship Id="rId6" Type="http://schemas.openxmlformats.org/officeDocument/2006/relationships/hyperlink" Target="https://www.digitalocean.com/community/tutorials/how-to-protect-ssh-with-fail2ban-on-ubuntu-14-04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02DD0-1C0E-4630-ACB3-F40C42CA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36</TotalTime>
  <Application>LibreOffice/6.0.7.3$Linux_X86_64 LibreOffice_project/00m0$Build-3</Application>
  <Pages>9</Pages>
  <Words>448</Words>
  <Characters>2501</Characters>
  <CharactersWithSpaces>2896</CharactersWithSpaces>
  <Paragraphs>50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2017-07-19T21:25:00Z</dcterms:created>
  <dc:creator>Windows User</dc:creator>
  <dc:description/>
  <dc:language>en-CA</dc:language>
  <cp:lastModifiedBy/>
  <cp:lastPrinted>2016-10-25T21:35:00Z</cp:lastPrinted>
  <dcterms:modified xsi:type="dcterms:W3CDTF">2020-09-03T22:11:52Z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