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5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-300990</wp:posOffset>
                </wp:positionH>
                <wp:positionV relativeFrom="paragraph">
                  <wp:posOffset>3489325</wp:posOffset>
                </wp:positionV>
                <wp:extent cx="696150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9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796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Windows Lab 7/8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2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7pt;margin-top:274.75pt;width:548.1pt;height:410.2pt" coordorigin="-474,5495" coordsize="10962,8204">
                <v:group id="shape_0" alt="Group 30" style="position:absolute;left:-474;top:5495;width:10863;height:7497">
                  <v:rect id="shape_0" ID="Text Box 4" stroked="f" style="position:absolute;left:-474;top:5495;width:7512;height:836">
                    <w10:wrap type="none"/>
                    <v:fill o:detectmouseclick="t" on="false"/>
                    <v:stroke color="#3465a4" joinstyle="round" endcap="flat"/>
                  </v:rect>
                  <v:rect id="shape_0" ID="Text Box 5" stroked="f" style="position:absolute;left:-181;top:5495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Windows Lab 7/8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9;top:11691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79;top:13265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387331970"/>
      </w:sdtPr>
      <w:sdtContent>
        <w:p>
          <w:pPr>
            <w:pStyle w:val="TOCHeading"/>
            <w:tabs>
              <w:tab w:val="left" w:pos="3960" w:leader="none"/>
            </w:tabs>
            <w:rPr/>
          </w:pPr>
          <w:r>
            <w:rPr/>
            <w:t>Table of Contents</w:t>
            <w:tab/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5173395">
            <w:r>
              <w:rPr>
                <w:webHidden/>
                <w:rStyle w:val="IndexLink"/>
              </w:rPr>
              <w:t>Lab Outcome(s)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6">
            <w:r>
              <w:rPr>
                <w:webHidden/>
                <w:rStyle w:val="IndexLink"/>
              </w:rPr>
              <w:t>Reading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7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left" w:pos="660" w:leader="none"/>
              <w:tab w:val="right" w:pos="9350" w:leader="dot"/>
            </w:tabs>
            <w:rPr/>
          </w:pPr>
          <w:hyperlink w:anchor="_Toc465173398">
            <w:r>
              <w:rPr>
                <w:webHidden/>
                <w:rStyle w:val="IndexLink"/>
              </w:rPr>
              <w:t>Installing Windows Server 2016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400">
            <w:r>
              <w:rPr>
                <w:webHidden/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Style1"/>
        <w:rPr/>
      </w:pPr>
      <w:bookmarkStart w:id="0" w:name="_Toc465173395"/>
      <w:bookmarkStart w:id="1" w:name="_Toc452022643"/>
      <w:r>
        <w:rPr/>
        <w:t>Lab Outcome</w:t>
      </w:r>
      <w:bookmarkEnd w:id="1"/>
      <w:r>
        <w:rPr/>
        <w:t>(s)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Install Windows Server 2016.</w:t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2" w:name="_Toc465173396"/>
      <w:r>
        <w:rPr/>
        <w:t>Reading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3" w:name="_Toc465173397"/>
      <w:bookmarkStart w:id="4" w:name="_Toc452022645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>This lab is to practice the installation of Windows Server 2016 in a virtual machine and install Active Directory.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Style1"/>
        <w:ind w:left="720" w:hanging="0"/>
        <w:rPr/>
      </w:pPr>
      <w:r>
        <w:rPr/>
      </w:r>
    </w:p>
    <w:p>
      <w:pPr>
        <w:pStyle w:val="HeadingStyle1"/>
        <w:numPr>
          <w:ilvl w:val="0"/>
          <w:numId w:val="4"/>
        </w:numPr>
        <w:rPr/>
      </w:pPr>
      <w:r>
        <w:rPr/>
        <w:t>Installing Windows Server 2016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new virtual machine in Virtualbox</w:t>
        <w:br/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Operating System type to Windows 2016 (or Windows 2012 64 bit if 2016 is not available)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RAM to 4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networking to NAT (for now).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disk space to dynamic and 50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Attach the Windows Server 2016 ISO to the virtual CDROM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Start the VM and select the datacenter edition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Once the install is complete, check the IP address, subnet mask, DNS, and default gateway.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static IP information to match the dynamically supplied information above.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Allow the updates to be installed (this will take a while).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snapshot of the VM once all of the updates have completed and you reboot the Windows Server 2016 VM.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Make sure you can access </w:t>
      </w:r>
      <w:r>
        <w:rPr>
          <w:b w:val="false"/>
          <w:sz w:val="24"/>
          <w:szCs w:val="24"/>
        </w:rPr>
        <w:t>the Internet</w:t>
      </w:r>
      <w:r>
        <w:rPr>
          <w:b w:val="false"/>
          <w:sz w:val="24"/>
          <w:szCs w:val="24"/>
        </w:rPr>
        <w:t xml:space="preserve"> once you reboot.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Add the Active Directory Domain Services role.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You will be informed that the DNS Server role will also be installed. That is fine because AD relies on the DNS server.</w:t>
        <w:br/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You are starting a new Forest and this is the first AD server.</w:t>
        <w:br/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Give your new domain a name (whatever you like … but shouldn’t be a public one like google.com … </w:t>
      </w:r>
      <w:r>
        <w:rPr>
          <w:b w:val="false"/>
          <w:sz w:val="24"/>
          <w:szCs w:val="24"/>
        </w:rPr>
        <w:t>domain.local is good</w:t>
      </w:r>
      <w:r>
        <w:rPr>
          <w:b w:val="false"/>
          <w:sz w:val="24"/>
          <w:szCs w:val="24"/>
        </w:rPr>
        <w:t xml:space="preserve">) </w:t>
        <w:br/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Let it install, this can take a long time.  If class ends before the install finishes, </w:t>
      </w:r>
      <w:r>
        <w:rPr>
          <w:b w:val="false"/>
          <w:sz w:val="24"/>
          <w:szCs w:val="24"/>
        </w:rPr>
        <w:t xml:space="preserve">you can </w:t>
      </w:r>
      <w:r>
        <w:rPr>
          <w:b w:val="false"/>
          <w:sz w:val="24"/>
          <w:szCs w:val="24"/>
        </w:rPr>
        <w:t>just “pause” it and “save the machine state” so you can resume the install later.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We will use this VM in the next couple of classes but if you want to play with it in the meantime, make sure that you </w:t>
      </w:r>
      <w:r>
        <w:rPr>
          <w:b w:val="false"/>
          <w:sz w:val="24"/>
          <w:szCs w:val="24"/>
        </w:rPr>
        <w:t xml:space="preserve">revert to the </w:t>
      </w:r>
      <w:r>
        <w:rPr>
          <w:b w:val="false"/>
          <w:sz w:val="24"/>
          <w:szCs w:val="24"/>
        </w:rPr>
        <w:t xml:space="preserve">snapshot </w:t>
      </w:r>
      <w:r>
        <w:rPr>
          <w:b w:val="false"/>
          <w:sz w:val="24"/>
          <w:szCs w:val="24"/>
        </w:rPr>
        <w:t xml:space="preserve">you took earlier </w:t>
      </w:r>
      <w:r>
        <w:rPr>
          <w:b w:val="false"/>
          <w:sz w:val="24"/>
          <w:szCs w:val="24"/>
        </w:rPr>
        <w:t>so that you have a clean install when we start working with it later.</w:t>
      </w:r>
      <w:bookmarkStart w:id="5" w:name="_GoBack"/>
      <w:bookmarkEnd w:id="5"/>
      <w:r>
        <w:rPr>
          <w:b w:val="false"/>
          <w:sz w:val="24"/>
          <w:szCs w:val="24"/>
        </w:rPr>
        <w:br/>
      </w:r>
    </w:p>
    <w:p>
      <w:pPr>
        <w:pStyle w:val="HeadingStyle1"/>
        <w:rPr>
          <w:i/>
          <w:i/>
          <w:iCs/>
          <w:sz w:val="28"/>
          <w:szCs w:val="28"/>
        </w:rPr>
      </w:pPr>
      <w:r>
        <w:rPr>
          <w:b w:val="false"/>
          <w:i/>
          <w:iCs/>
          <w:sz w:val="28"/>
          <w:szCs w:val="28"/>
        </w:rPr>
        <w:t xml:space="preserve">No submission for this lab.  If you do not complete it successfully, remember to ask for help.  This lab is important and </w:t>
      </w:r>
      <w:r>
        <w:rPr>
          <w:b/>
          <w:bCs/>
          <w:i/>
          <w:iCs/>
          <w:sz w:val="28"/>
          <w:szCs w:val="28"/>
        </w:rPr>
        <w:t>every</w:t>
      </w:r>
      <w:r>
        <w:rPr>
          <w:b w:val="false"/>
          <w:i/>
          <w:iCs/>
          <w:sz w:val="28"/>
          <w:szCs w:val="28"/>
        </w:rPr>
        <w:t xml:space="preserve"> student needs to complete it successfully.</w:t>
      </w:r>
    </w:p>
    <w:p>
      <w:pPr>
        <w:pStyle w:val="HeadingStyle1"/>
        <w:rPr>
          <w:b w:val="false"/>
          <w:b w:val="false"/>
          <w:sz w:val="24"/>
          <w:szCs w:val="24"/>
        </w:rPr>
      </w:pPr>
      <w:r>
        <w:rPr/>
      </w:r>
    </w:p>
    <w:p>
      <w:pPr>
        <w:pStyle w:val="HeadingStyle1"/>
        <w:spacing w:before="0" w:after="120"/>
        <w:rPr/>
      </w:pPr>
      <w:bookmarkStart w:id="6" w:name="_Toc465173400"/>
      <w:r>
        <w:rPr/>
        <w:t>References</w:t>
      </w:r>
      <w:bookmarkEnd w:id="6"/>
    </w:p>
    <w:p>
      <w:pPr>
        <w:pStyle w:val="HeadingStyle1"/>
        <w:spacing w:before="0" w:after="120"/>
        <w:rPr/>
      </w:pPr>
      <w:r>
        <w:rPr/>
      </w:r>
    </w:p>
    <w:p>
      <w:pPr>
        <w:pStyle w:val="HeadingStyle1"/>
        <w:spacing w:before="0" w:after="120"/>
        <w:rPr/>
      </w:pPr>
      <w:r>
        <w:rPr/>
        <w:t xml:space="preserve">Install Windows Server 2016 </w:t>
      </w:r>
    </w:p>
    <w:p>
      <w:pPr>
        <w:pStyle w:val="HeadingStyle1"/>
        <w:spacing w:before="0" w:after="120"/>
        <w:rPr/>
      </w:pPr>
      <w:r>
        <w:rPr>
          <w:b w:val="false"/>
          <w:bCs w:val="false"/>
        </w:rPr>
        <w:t>https://www.server-world.info/en/note?os=Windows_Server_2016&amp;p=install</w:t>
      </w:r>
    </w:p>
    <w:p>
      <w:pPr>
        <w:pStyle w:val="HeadingStyle1"/>
        <w:spacing w:before="0" w:after="120"/>
        <w:rPr/>
      </w:pPr>
      <w:r>
        <w:rPr/>
      </w:r>
    </w:p>
    <w:p>
      <w:pPr>
        <w:pStyle w:val="HeadingStyle1"/>
        <w:spacing w:before="0" w:after="120"/>
        <w:rPr>
          <w:b w:val="false"/>
          <w:b w:val="false"/>
          <w:bCs w:val="false"/>
        </w:rPr>
      </w:pPr>
      <w:r>
        <w:rPr>
          <w:b/>
          <w:bCs/>
        </w:rPr>
        <w:t>Install Active Directory</w:t>
      </w:r>
      <w:r>
        <w:rPr>
          <w:b w:val="false"/>
          <w:bCs w:val="false"/>
        </w:rPr>
        <w:t xml:space="preserve">  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HeadingStyle1"/>
        <w:spacing w:before="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https://www.server-world.info/en/note?os=Windows_Server_2016&amp;p=active_directory&amp;f=1</w:t>
      </w:r>
    </w:p>
    <w:p>
      <w:pPr>
        <w:pStyle w:val="Normal"/>
        <w:rPr/>
      </w:pPr>
      <w:r>
        <w:rPr/>
        <w:t>Blank page if necessary to make pages an even number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 NOT DELETE THE SECTION BREAK BELOW. DELETING IT MAY IMPACT THE FORMATTING IN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Windows Lab 7/8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Windows Lab 7/8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0051FB5C">
              <wp:simplePos x="0" y="0"/>
              <wp:positionH relativeFrom="column">
                <wp:posOffset>-8890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25.55pt" to="467.25pt,25.55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7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8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0"/>
      <w:lvlJc w:val="left"/>
      <w:pPr>
        <w:ind w:left="660" w:hanging="660"/>
      </w:pPr>
      <w:rPr>
        <w:u w:val="single"/>
        <w:color w:val="0000FF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u w:val="single"/>
        <w:color w:val="0000F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single"/>
        <w:color w:val="0000FF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u w:val="single"/>
        <w:color w:val="0000FF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single"/>
        <w:color w:val="0000FF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u w:val="single"/>
        <w:color w:val="0000FF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single"/>
        <w:color w:val="0000FF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u w:val="single"/>
        <w:color w:val="0000FF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u w:val="single"/>
        <w:color w:val="0000FF"/>
      </w:rPr>
    </w:lvl>
  </w:abstractNum>
  <w:abstractNum w:abstractNumId="4"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>
    <w:name w:val="Internet 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>
      <w:color w:val="0000FF"/>
      <w:u w:val="single"/>
    </w:rPr>
  </w:style>
  <w:style w:type="character" w:styleId="ListLabel9">
    <w:name w:val="ListLabel 9"/>
    <w:qFormat/>
    <w:rPr>
      <w:color w:val="0000FF"/>
      <w:u w:val="single"/>
    </w:rPr>
  </w:style>
  <w:style w:type="character" w:styleId="ListLabel10">
    <w:name w:val="ListLabel 10"/>
    <w:qFormat/>
    <w:rPr>
      <w:color w:val="0000FF"/>
      <w:u w:val="single"/>
    </w:rPr>
  </w:style>
  <w:style w:type="character" w:styleId="ListLabel11">
    <w:name w:val="ListLabel 11"/>
    <w:qFormat/>
    <w:rPr>
      <w:color w:val="0000FF"/>
      <w:u w:val="single"/>
    </w:rPr>
  </w:style>
  <w:style w:type="character" w:styleId="ListLabel12">
    <w:name w:val="ListLabel 12"/>
    <w:qFormat/>
    <w:rPr>
      <w:color w:val="0000FF"/>
      <w:u w:val="single"/>
    </w:rPr>
  </w:style>
  <w:style w:type="character" w:styleId="ListLabel13">
    <w:name w:val="ListLabel 13"/>
    <w:qFormat/>
    <w:rPr>
      <w:color w:val="0000FF"/>
      <w:u w:val="single"/>
    </w:rPr>
  </w:style>
  <w:style w:type="character" w:styleId="ListLabel14">
    <w:name w:val="ListLabel 14"/>
    <w:qFormat/>
    <w:rPr>
      <w:color w:val="0000FF"/>
      <w:u w:val="single"/>
    </w:rPr>
  </w:style>
  <w:style w:type="character" w:styleId="ListLabel15">
    <w:name w:val="ListLabel 15"/>
    <w:qFormat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styleId="Source" w:customStyle="1">
    <w:name w:val="Source"/>
    <w:basedOn w:val="SAITCaption"/>
    <w:qFormat/>
    <w:rsid w:val="00c72591"/>
    <w:pPr>
      <w:spacing w:before="0" w:after="0"/>
    </w:pPr>
    <w:rPr>
      <w:b w:val="false"/>
      <w:sz w:val="20"/>
      <w:szCs w:val="20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BBE2-457A-4D76-AFA6-29914B5D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43</TotalTime>
  <Application>LibreOffice/6.0.7.3$Linux_X86_64 LibreOffice_project/00m0$Build-3</Application>
  <Pages>9</Pages>
  <Words>499</Words>
  <Characters>2537</Characters>
  <CharactersWithSpaces>2983</CharactersWithSpaces>
  <Paragraphs>52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2017-07-17T18:23:00Z</dcterms:created>
  <dc:creator>Windows User</dc:creator>
  <dc:description/>
  <dc:language>en-CA</dc:language>
  <cp:lastModifiedBy/>
  <cp:lastPrinted>2016-10-25T21:35:00Z</cp:lastPrinted>
  <dcterms:modified xsi:type="dcterms:W3CDTF">2020-09-03T21:21:12Z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