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7688" w14:textId="77777777" w:rsidR="00C04854" w:rsidRDefault="00C04854" w:rsidP="007F2B57"/>
    <w:p w14:paraId="272F8A3D" w14:textId="77777777" w:rsidR="00C01287" w:rsidRPr="00644444" w:rsidRDefault="004540D0" w:rsidP="007F2B57">
      <w:r>
        <w:rPr>
          <w:noProof/>
          <w:lang w:eastAsia="en-CA"/>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lang w:eastAsia="en-CA"/>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2866EF47" w14:textId="0B94EDA9" w:rsidR="003B7A1F" w:rsidRPr="00090ACB" w:rsidRDefault="003B7A1F"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767D7429" w14:textId="34326FB2" w:rsidR="003B7A1F" w:rsidRPr="00A45EC3" w:rsidRDefault="003B7A1F" w:rsidP="007E5769">
                                <w:pPr>
                                  <w:pStyle w:val="TitlePageCourseName"/>
                                  <w:rPr>
                                    <w:rFonts w:ascii="Titillium Bd" w:hAnsi="Titillium Bd"/>
                                  </w:rPr>
                                </w:pPr>
                                <w:r>
                                  <w:rPr>
                                    <w:rFonts w:ascii="Titillium Bd" w:hAnsi="Titillium Bd"/>
                                  </w:rPr>
                                  <w:t>Lab 4: Basic</w:t>
                                </w:r>
                                <w:r w:rsidRPr="005476F5">
                                  <w:rPr>
                                    <w:rFonts w:ascii="Titillium Bd" w:hAnsi="Titillium Bd"/>
                                  </w:rPr>
                                  <w:t xml:space="preserve"> PE </w:t>
                                </w:r>
                                <w:r>
                                  <w:rPr>
                                    <w:rFonts w:ascii="Titillium Bd" w:hAnsi="Titillium Bd"/>
                                  </w:rPr>
                                  <w:t>Static Analysis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0394799F" w14:textId="46DF0243" w:rsidR="003B7A1F" w:rsidRPr="00A45EC3" w:rsidRDefault="003B7A1F" w:rsidP="007E5769">
                                <w:pPr>
                                  <w:pStyle w:val="TitlePageModuleTitle"/>
                                  <w:rPr>
                                    <w:rFonts w:ascii="Titillium Bd" w:hAnsi="Titillium Bd"/>
                                  </w:rPr>
                                </w:pPr>
                                <w:r>
                                  <w:rPr>
                                    <w:rFonts w:ascii="Titillium Bd" w:hAnsi="Titillium Bd"/>
                                  </w:rPr>
                                  <w:t>ITSC 303: Malware Analysis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50A1D" w14:textId="3D2A3FCE" w:rsidR="003B7A1F" w:rsidRPr="008B6EED" w:rsidRDefault="003B7A1F"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2866EF47" w14:textId="0B94EDA9" w:rsidR="003B7A1F" w:rsidRPr="00090ACB" w:rsidRDefault="003B7A1F" w:rsidP="007F2B57"/>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67D7429" w14:textId="34326FB2" w:rsidR="003B7A1F" w:rsidRPr="00A45EC3" w:rsidRDefault="003B7A1F" w:rsidP="007E5769">
                          <w:pPr>
                            <w:pStyle w:val="TitlePageCourseName"/>
                            <w:rPr>
                              <w:rFonts w:ascii="Titillium Bd" w:hAnsi="Titillium Bd"/>
                            </w:rPr>
                          </w:pPr>
                          <w:r>
                            <w:rPr>
                              <w:rFonts w:ascii="Titillium Bd" w:hAnsi="Titillium Bd"/>
                            </w:rPr>
                            <w:t>Lab 4: Basic</w:t>
                          </w:r>
                          <w:r w:rsidRPr="005476F5">
                            <w:rPr>
                              <w:rFonts w:ascii="Titillium Bd" w:hAnsi="Titillium Bd"/>
                            </w:rPr>
                            <w:t xml:space="preserve"> PE </w:t>
                          </w:r>
                          <w:r>
                            <w:rPr>
                              <w:rFonts w:ascii="Titillium Bd" w:hAnsi="Titillium Bd"/>
                            </w:rPr>
                            <w:t>Static Analysis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0394799F" w14:textId="46DF0243" w:rsidR="003B7A1F" w:rsidRPr="00A45EC3" w:rsidRDefault="003B7A1F" w:rsidP="007E5769">
                          <w:pPr>
                            <w:pStyle w:val="TitlePageModuleTitle"/>
                            <w:rPr>
                              <w:rFonts w:ascii="Titillium Bd" w:hAnsi="Titillium Bd"/>
                            </w:rPr>
                          </w:pPr>
                          <w:r>
                            <w:rPr>
                              <w:rFonts w:ascii="Titillium Bd" w:hAnsi="Titillium Bd"/>
                            </w:rPr>
                            <w:t>ITSC 303: Malware Analysis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16950A1D" w14:textId="3D2A3FCE" w:rsidR="003B7A1F" w:rsidRPr="008B6EED" w:rsidRDefault="003B7A1F"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698DFF2D" w14:textId="77777777" w:rsidR="00E0644F" w:rsidRDefault="00F62EC0">
          <w:pPr>
            <w:pStyle w:val="TOC1"/>
            <w:rPr>
              <w:rFonts w:asciiTheme="minorHAnsi" w:eastAsiaTheme="minorEastAsia" w:hAnsiTheme="minorHAnsi" w:cstheme="minorBidi"/>
              <w:bCs w:val="0"/>
              <w:szCs w:val="22"/>
              <w:lang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22024170" w:history="1">
            <w:r w:rsidR="00E0644F" w:rsidRPr="003A1E36">
              <w:rPr>
                <w:rStyle w:val="Hyperlink"/>
              </w:rPr>
              <w:t>Lab Outcomes</w:t>
            </w:r>
            <w:r w:rsidR="00E0644F">
              <w:rPr>
                <w:webHidden/>
              </w:rPr>
              <w:tab/>
            </w:r>
            <w:r w:rsidR="00E0644F">
              <w:rPr>
                <w:webHidden/>
              </w:rPr>
              <w:fldChar w:fldCharType="begin"/>
            </w:r>
            <w:r w:rsidR="00E0644F">
              <w:rPr>
                <w:webHidden/>
              </w:rPr>
              <w:instrText xml:space="preserve"> PAGEREF _Toc22024170 \h </w:instrText>
            </w:r>
            <w:r w:rsidR="00E0644F">
              <w:rPr>
                <w:webHidden/>
              </w:rPr>
            </w:r>
            <w:r w:rsidR="00E0644F">
              <w:rPr>
                <w:webHidden/>
              </w:rPr>
              <w:fldChar w:fldCharType="separate"/>
            </w:r>
            <w:r w:rsidR="00E0644F">
              <w:rPr>
                <w:webHidden/>
              </w:rPr>
              <w:t>3</w:t>
            </w:r>
            <w:r w:rsidR="00E0644F">
              <w:rPr>
                <w:webHidden/>
              </w:rPr>
              <w:fldChar w:fldCharType="end"/>
            </w:r>
          </w:hyperlink>
        </w:p>
        <w:p w14:paraId="07834B73" w14:textId="77777777" w:rsidR="00E0644F" w:rsidRDefault="00E565C2">
          <w:pPr>
            <w:pStyle w:val="TOC1"/>
            <w:rPr>
              <w:rFonts w:asciiTheme="minorHAnsi" w:eastAsiaTheme="minorEastAsia" w:hAnsiTheme="minorHAnsi" w:cstheme="minorBidi"/>
              <w:bCs w:val="0"/>
              <w:szCs w:val="22"/>
              <w:lang w:eastAsia="en-CA"/>
            </w:rPr>
          </w:pPr>
          <w:hyperlink w:anchor="_Toc22024171" w:history="1">
            <w:r w:rsidR="00E0644F" w:rsidRPr="003A1E36">
              <w:rPr>
                <w:rStyle w:val="Hyperlink"/>
              </w:rPr>
              <w:t>Background Reading</w:t>
            </w:r>
            <w:r w:rsidR="00E0644F">
              <w:rPr>
                <w:webHidden/>
              </w:rPr>
              <w:tab/>
            </w:r>
            <w:r w:rsidR="00E0644F">
              <w:rPr>
                <w:webHidden/>
              </w:rPr>
              <w:fldChar w:fldCharType="begin"/>
            </w:r>
            <w:r w:rsidR="00E0644F">
              <w:rPr>
                <w:webHidden/>
              </w:rPr>
              <w:instrText xml:space="preserve"> PAGEREF _Toc22024171 \h </w:instrText>
            </w:r>
            <w:r w:rsidR="00E0644F">
              <w:rPr>
                <w:webHidden/>
              </w:rPr>
            </w:r>
            <w:r w:rsidR="00E0644F">
              <w:rPr>
                <w:webHidden/>
              </w:rPr>
              <w:fldChar w:fldCharType="separate"/>
            </w:r>
            <w:r w:rsidR="00E0644F">
              <w:rPr>
                <w:webHidden/>
              </w:rPr>
              <w:t>3</w:t>
            </w:r>
            <w:r w:rsidR="00E0644F">
              <w:rPr>
                <w:webHidden/>
              </w:rPr>
              <w:fldChar w:fldCharType="end"/>
            </w:r>
          </w:hyperlink>
        </w:p>
        <w:p w14:paraId="52F2360B" w14:textId="77777777" w:rsidR="00E0644F" w:rsidRDefault="00E565C2">
          <w:pPr>
            <w:pStyle w:val="TOC1"/>
            <w:rPr>
              <w:rFonts w:asciiTheme="minorHAnsi" w:eastAsiaTheme="minorEastAsia" w:hAnsiTheme="minorHAnsi" w:cstheme="minorBidi"/>
              <w:bCs w:val="0"/>
              <w:szCs w:val="22"/>
              <w:lang w:eastAsia="en-CA"/>
            </w:rPr>
          </w:pPr>
          <w:hyperlink w:anchor="_Toc22024172" w:history="1">
            <w:r w:rsidR="00E0644F" w:rsidRPr="003A1E36">
              <w:rPr>
                <w:rStyle w:val="Hyperlink"/>
              </w:rPr>
              <w:t>Introduction</w:t>
            </w:r>
            <w:r w:rsidR="00E0644F">
              <w:rPr>
                <w:webHidden/>
              </w:rPr>
              <w:tab/>
            </w:r>
            <w:r w:rsidR="00E0644F">
              <w:rPr>
                <w:webHidden/>
              </w:rPr>
              <w:fldChar w:fldCharType="begin"/>
            </w:r>
            <w:r w:rsidR="00E0644F">
              <w:rPr>
                <w:webHidden/>
              </w:rPr>
              <w:instrText xml:space="preserve"> PAGEREF _Toc22024172 \h </w:instrText>
            </w:r>
            <w:r w:rsidR="00E0644F">
              <w:rPr>
                <w:webHidden/>
              </w:rPr>
            </w:r>
            <w:r w:rsidR="00E0644F">
              <w:rPr>
                <w:webHidden/>
              </w:rPr>
              <w:fldChar w:fldCharType="separate"/>
            </w:r>
            <w:r w:rsidR="00E0644F">
              <w:rPr>
                <w:webHidden/>
              </w:rPr>
              <w:t>3</w:t>
            </w:r>
            <w:r w:rsidR="00E0644F">
              <w:rPr>
                <w:webHidden/>
              </w:rPr>
              <w:fldChar w:fldCharType="end"/>
            </w:r>
          </w:hyperlink>
        </w:p>
        <w:p w14:paraId="311037D6" w14:textId="77777777" w:rsidR="00E0644F" w:rsidRDefault="00E565C2">
          <w:pPr>
            <w:pStyle w:val="TOC1"/>
            <w:tabs>
              <w:tab w:val="left" w:pos="660"/>
            </w:tabs>
            <w:rPr>
              <w:rFonts w:asciiTheme="minorHAnsi" w:eastAsiaTheme="minorEastAsia" w:hAnsiTheme="minorHAnsi" w:cstheme="minorBidi"/>
              <w:bCs w:val="0"/>
              <w:szCs w:val="22"/>
              <w:lang w:eastAsia="en-CA"/>
            </w:rPr>
          </w:pPr>
          <w:hyperlink w:anchor="_Toc22024173" w:history="1">
            <w:r w:rsidR="00E0644F" w:rsidRPr="003A1E36">
              <w:rPr>
                <w:rStyle w:val="Hyperlink"/>
              </w:rPr>
              <w:t>1.0</w:t>
            </w:r>
            <w:r w:rsidR="00E0644F">
              <w:rPr>
                <w:rFonts w:asciiTheme="minorHAnsi" w:eastAsiaTheme="minorEastAsia" w:hAnsiTheme="minorHAnsi" w:cstheme="minorBidi"/>
                <w:bCs w:val="0"/>
                <w:szCs w:val="22"/>
                <w:lang w:eastAsia="en-CA"/>
              </w:rPr>
              <w:tab/>
            </w:r>
            <w:r w:rsidR="00E0644F" w:rsidRPr="003A1E36">
              <w:rPr>
                <w:rStyle w:val="Hyperlink"/>
              </w:rPr>
              <w:t>Digging More Deeply into the Command and Control Loop</w:t>
            </w:r>
            <w:r w:rsidR="00E0644F">
              <w:rPr>
                <w:webHidden/>
              </w:rPr>
              <w:tab/>
            </w:r>
            <w:r w:rsidR="00E0644F">
              <w:rPr>
                <w:webHidden/>
              </w:rPr>
              <w:fldChar w:fldCharType="begin"/>
            </w:r>
            <w:r w:rsidR="00E0644F">
              <w:rPr>
                <w:webHidden/>
              </w:rPr>
              <w:instrText xml:space="preserve"> PAGEREF _Toc22024173 \h </w:instrText>
            </w:r>
            <w:r w:rsidR="00E0644F">
              <w:rPr>
                <w:webHidden/>
              </w:rPr>
            </w:r>
            <w:r w:rsidR="00E0644F">
              <w:rPr>
                <w:webHidden/>
              </w:rPr>
              <w:fldChar w:fldCharType="separate"/>
            </w:r>
            <w:r w:rsidR="00E0644F">
              <w:rPr>
                <w:webHidden/>
              </w:rPr>
              <w:t>4</w:t>
            </w:r>
            <w:r w:rsidR="00E0644F">
              <w:rPr>
                <w:webHidden/>
              </w:rPr>
              <w:fldChar w:fldCharType="end"/>
            </w:r>
          </w:hyperlink>
        </w:p>
        <w:p w14:paraId="563ADF89" w14:textId="77777777" w:rsidR="00E0644F" w:rsidRDefault="00E565C2">
          <w:pPr>
            <w:pStyle w:val="TOC2"/>
            <w:tabs>
              <w:tab w:val="left" w:pos="880"/>
              <w:tab w:val="right" w:leader="dot" w:pos="9350"/>
            </w:tabs>
            <w:rPr>
              <w:rFonts w:asciiTheme="minorHAnsi" w:eastAsiaTheme="minorEastAsia" w:hAnsiTheme="minorHAnsi" w:cstheme="minorBidi"/>
              <w:noProof/>
              <w:szCs w:val="22"/>
              <w:lang w:eastAsia="en-CA"/>
            </w:rPr>
          </w:pPr>
          <w:hyperlink w:anchor="_Toc22024174" w:history="1">
            <w:r w:rsidR="00E0644F" w:rsidRPr="003A1E36">
              <w:rPr>
                <w:rStyle w:val="Hyperlink"/>
                <w:noProof/>
              </w:rPr>
              <w:t>1.1</w:t>
            </w:r>
            <w:r w:rsidR="00E0644F">
              <w:rPr>
                <w:rFonts w:asciiTheme="minorHAnsi" w:eastAsiaTheme="minorEastAsia" w:hAnsiTheme="minorHAnsi" w:cstheme="minorBidi"/>
                <w:noProof/>
                <w:szCs w:val="22"/>
                <w:lang w:eastAsia="en-CA"/>
              </w:rPr>
              <w:tab/>
            </w:r>
            <w:r w:rsidR="00E0644F" w:rsidRPr="003A1E36">
              <w:rPr>
                <w:rStyle w:val="Hyperlink"/>
                <w:noProof/>
              </w:rPr>
              <w:t>Using the Ghidra Decompiler</w:t>
            </w:r>
            <w:r w:rsidR="00E0644F">
              <w:rPr>
                <w:noProof/>
                <w:webHidden/>
              </w:rPr>
              <w:tab/>
            </w:r>
            <w:r w:rsidR="00E0644F">
              <w:rPr>
                <w:noProof/>
                <w:webHidden/>
              </w:rPr>
              <w:fldChar w:fldCharType="begin"/>
            </w:r>
            <w:r w:rsidR="00E0644F">
              <w:rPr>
                <w:noProof/>
                <w:webHidden/>
              </w:rPr>
              <w:instrText xml:space="preserve"> PAGEREF _Toc22024174 \h </w:instrText>
            </w:r>
            <w:r w:rsidR="00E0644F">
              <w:rPr>
                <w:noProof/>
                <w:webHidden/>
              </w:rPr>
            </w:r>
            <w:r w:rsidR="00E0644F">
              <w:rPr>
                <w:noProof/>
                <w:webHidden/>
              </w:rPr>
              <w:fldChar w:fldCharType="separate"/>
            </w:r>
            <w:r w:rsidR="00E0644F">
              <w:rPr>
                <w:noProof/>
                <w:webHidden/>
              </w:rPr>
              <w:t>4</w:t>
            </w:r>
            <w:r w:rsidR="00E0644F">
              <w:rPr>
                <w:noProof/>
                <w:webHidden/>
              </w:rPr>
              <w:fldChar w:fldCharType="end"/>
            </w:r>
          </w:hyperlink>
        </w:p>
        <w:p w14:paraId="2B9E7FF5" w14:textId="77777777" w:rsidR="00E0644F" w:rsidRDefault="00E565C2">
          <w:pPr>
            <w:pStyle w:val="TOC2"/>
            <w:tabs>
              <w:tab w:val="left" w:pos="880"/>
              <w:tab w:val="right" w:leader="dot" w:pos="9350"/>
            </w:tabs>
            <w:rPr>
              <w:rFonts w:asciiTheme="minorHAnsi" w:eastAsiaTheme="minorEastAsia" w:hAnsiTheme="minorHAnsi" w:cstheme="minorBidi"/>
              <w:noProof/>
              <w:szCs w:val="22"/>
              <w:lang w:eastAsia="en-CA"/>
            </w:rPr>
          </w:pPr>
          <w:hyperlink w:anchor="_Toc22024175" w:history="1">
            <w:r w:rsidR="00E0644F" w:rsidRPr="003A1E36">
              <w:rPr>
                <w:rStyle w:val="Hyperlink"/>
                <w:noProof/>
              </w:rPr>
              <w:t>1.2</w:t>
            </w:r>
            <w:r w:rsidR="00E0644F">
              <w:rPr>
                <w:rFonts w:asciiTheme="minorHAnsi" w:eastAsiaTheme="minorEastAsia" w:hAnsiTheme="minorHAnsi" w:cstheme="minorBidi"/>
                <w:noProof/>
                <w:szCs w:val="22"/>
                <w:lang w:eastAsia="en-CA"/>
              </w:rPr>
              <w:tab/>
            </w:r>
            <w:r w:rsidR="00E0644F" w:rsidRPr="003A1E36">
              <w:rPr>
                <w:rStyle w:val="Hyperlink"/>
                <w:noProof/>
              </w:rPr>
              <w:t>Documenting the Exact Format of Each Command</w:t>
            </w:r>
            <w:r w:rsidR="00E0644F">
              <w:rPr>
                <w:noProof/>
                <w:webHidden/>
              </w:rPr>
              <w:tab/>
            </w:r>
            <w:r w:rsidR="00E0644F">
              <w:rPr>
                <w:noProof/>
                <w:webHidden/>
              </w:rPr>
              <w:fldChar w:fldCharType="begin"/>
            </w:r>
            <w:r w:rsidR="00E0644F">
              <w:rPr>
                <w:noProof/>
                <w:webHidden/>
              </w:rPr>
              <w:instrText xml:space="preserve"> PAGEREF _Toc22024175 \h </w:instrText>
            </w:r>
            <w:r w:rsidR="00E0644F">
              <w:rPr>
                <w:noProof/>
                <w:webHidden/>
              </w:rPr>
            </w:r>
            <w:r w:rsidR="00E0644F">
              <w:rPr>
                <w:noProof/>
                <w:webHidden/>
              </w:rPr>
              <w:fldChar w:fldCharType="separate"/>
            </w:r>
            <w:r w:rsidR="00E0644F">
              <w:rPr>
                <w:noProof/>
                <w:webHidden/>
              </w:rPr>
              <w:t>7</w:t>
            </w:r>
            <w:r w:rsidR="00E0644F">
              <w:rPr>
                <w:noProof/>
                <w:webHidden/>
              </w:rPr>
              <w:fldChar w:fldCharType="end"/>
            </w:r>
          </w:hyperlink>
        </w:p>
        <w:p w14:paraId="7A9FB723" w14:textId="77777777" w:rsidR="00E0644F" w:rsidRDefault="00E565C2">
          <w:pPr>
            <w:pStyle w:val="TOC1"/>
            <w:rPr>
              <w:rFonts w:asciiTheme="minorHAnsi" w:eastAsiaTheme="minorEastAsia" w:hAnsiTheme="minorHAnsi" w:cstheme="minorBidi"/>
              <w:bCs w:val="0"/>
              <w:szCs w:val="22"/>
              <w:lang w:eastAsia="en-CA"/>
            </w:rPr>
          </w:pPr>
          <w:hyperlink w:anchor="_Toc22024176" w:history="1">
            <w:r w:rsidR="00E0644F" w:rsidRPr="003A1E36">
              <w:rPr>
                <w:rStyle w:val="Hyperlink"/>
              </w:rPr>
              <w:t>References</w:t>
            </w:r>
            <w:r w:rsidR="00E0644F">
              <w:rPr>
                <w:webHidden/>
              </w:rPr>
              <w:tab/>
            </w:r>
            <w:r w:rsidR="00E0644F">
              <w:rPr>
                <w:webHidden/>
              </w:rPr>
              <w:fldChar w:fldCharType="begin"/>
            </w:r>
            <w:r w:rsidR="00E0644F">
              <w:rPr>
                <w:webHidden/>
              </w:rPr>
              <w:instrText xml:space="preserve"> PAGEREF _Toc22024176 \h </w:instrText>
            </w:r>
            <w:r w:rsidR="00E0644F">
              <w:rPr>
                <w:webHidden/>
              </w:rPr>
            </w:r>
            <w:r w:rsidR="00E0644F">
              <w:rPr>
                <w:webHidden/>
              </w:rPr>
              <w:fldChar w:fldCharType="separate"/>
            </w:r>
            <w:r w:rsidR="00E0644F">
              <w:rPr>
                <w:webHidden/>
              </w:rPr>
              <w:t>10</w:t>
            </w:r>
            <w:r w:rsidR="00E0644F">
              <w:rPr>
                <w:webHidden/>
              </w:rPr>
              <w:fldChar w:fldCharType="end"/>
            </w:r>
          </w:hyperlink>
        </w:p>
        <w:p w14:paraId="6F93916A" w14:textId="2C580040"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47C2E5DE" w:rsidR="00117156" w:rsidRPr="00A70299" w:rsidRDefault="00934EB9" w:rsidP="007F2B57">
      <w:pPr>
        <w:pStyle w:val="CourseName"/>
      </w:pPr>
      <w:r>
        <w:lastRenderedPageBreak/>
        <w:t>Malware Analysis</w:t>
      </w:r>
    </w:p>
    <w:p w14:paraId="24AB712E" w14:textId="78284794" w:rsidR="001D399F" w:rsidRPr="00A70299" w:rsidRDefault="00934EB9" w:rsidP="007F2B57">
      <w:pPr>
        <w:pStyle w:val="LabTitle"/>
      </w:pPr>
      <w:r>
        <w:t xml:space="preserve">Lab </w:t>
      </w:r>
      <w:r w:rsidR="00506503">
        <w:t>4</w:t>
      </w:r>
      <w:r>
        <w:t xml:space="preserve">: </w:t>
      </w:r>
      <w:r w:rsidR="00506503" w:rsidRPr="00506503">
        <w:t>Basic PE Static Analysis</w:t>
      </w:r>
    </w:p>
    <w:p w14:paraId="72DE1E43" w14:textId="2E50228C" w:rsidR="007B6BA5" w:rsidRPr="000537E5" w:rsidRDefault="005476F5" w:rsidP="005476F5">
      <w:pPr>
        <w:pStyle w:val="HeadingStyle1"/>
      </w:pPr>
      <w:bookmarkStart w:id="0" w:name="_Toc22024170"/>
      <w:r>
        <w:t>La</w:t>
      </w:r>
      <w:r w:rsidR="00CA62B7">
        <w:t>b</w:t>
      </w:r>
      <w:r>
        <w:t xml:space="preserve"> Outcomes</w:t>
      </w:r>
      <w:bookmarkEnd w:id="0"/>
    </w:p>
    <w:p w14:paraId="4E3BE8E6" w14:textId="2C2A9D34" w:rsidR="007B6BA5" w:rsidRDefault="007B6BA5" w:rsidP="00B6572F">
      <w:pPr>
        <w:spacing w:after="120"/>
      </w:pPr>
      <w:r>
        <w:t xml:space="preserve">This lab will </w:t>
      </w:r>
      <w:r w:rsidR="006740A1">
        <w:t>focus on</w:t>
      </w:r>
      <w:r>
        <w:t xml:space="preserve"> the following </w:t>
      </w:r>
      <w:r w:rsidR="006740A1">
        <w:t>o</w:t>
      </w:r>
      <w:r w:rsidR="006279A2">
        <w:t>utcom</w:t>
      </w:r>
      <w:r w:rsidR="006740A1">
        <w:t>es</w:t>
      </w:r>
      <w:r>
        <w:t>:</w:t>
      </w:r>
    </w:p>
    <w:p w14:paraId="4510BF60" w14:textId="204CE0BB" w:rsidR="00506503" w:rsidRDefault="00506503" w:rsidP="00B6572F">
      <w:pPr>
        <w:pStyle w:val="ListParagraph"/>
        <w:numPr>
          <w:ilvl w:val="0"/>
          <w:numId w:val="1"/>
        </w:numPr>
      </w:pPr>
      <w:r>
        <w:t>Use the skills learned from previous labs.</w:t>
      </w:r>
    </w:p>
    <w:p w14:paraId="2E8AA915" w14:textId="58E2CB43" w:rsidR="00506503" w:rsidRDefault="00506503" w:rsidP="00B6572F">
      <w:pPr>
        <w:pStyle w:val="ListParagraph"/>
        <w:numPr>
          <w:ilvl w:val="0"/>
          <w:numId w:val="1"/>
        </w:numPr>
      </w:pPr>
      <w:r>
        <w:t xml:space="preserve">Understand how to generate </w:t>
      </w:r>
      <w:r w:rsidR="00C52139">
        <w:t>pseudo source code in Ghidra</w:t>
      </w:r>
    </w:p>
    <w:p w14:paraId="188550FD" w14:textId="02C65A46" w:rsidR="00506503" w:rsidRDefault="00506503" w:rsidP="00B6572F">
      <w:pPr>
        <w:pStyle w:val="ListParagraph"/>
        <w:numPr>
          <w:ilvl w:val="0"/>
          <w:numId w:val="1"/>
        </w:numPr>
      </w:pPr>
      <w:r>
        <w:t>Compare pseudo C code in</w:t>
      </w:r>
      <w:r w:rsidR="00C52139">
        <w:t xml:space="preserve"> Ghidra</w:t>
      </w:r>
      <w:r>
        <w:t xml:space="preserve"> with assembly.</w:t>
      </w:r>
    </w:p>
    <w:p w14:paraId="277B6636" w14:textId="15828E0B" w:rsidR="007B6BA5" w:rsidRDefault="00506503" w:rsidP="00B6572F">
      <w:pPr>
        <w:pStyle w:val="ListParagraph"/>
        <w:numPr>
          <w:ilvl w:val="0"/>
          <w:numId w:val="1"/>
        </w:numPr>
      </w:pPr>
      <w:r>
        <w:t>Determine the exact command structure for a malware sample.</w:t>
      </w:r>
    </w:p>
    <w:p w14:paraId="5B221DBE" w14:textId="09786EF3" w:rsidR="007B6BA5" w:rsidRPr="001D399F" w:rsidRDefault="00CA62B7" w:rsidP="00501C43">
      <w:pPr>
        <w:pStyle w:val="HeadingStyle1"/>
      </w:pPr>
      <w:bookmarkStart w:id="1" w:name="_Toc22024171"/>
      <w:r>
        <w:t>Background Reading</w:t>
      </w:r>
      <w:bookmarkEnd w:id="1"/>
    </w:p>
    <w:p w14:paraId="19942241" w14:textId="77777777" w:rsidR="006279A2" w:rsidRDefault="006279A2" w:rsidP="00B6572F">
      <w:pPr>
        <w:pStyle w:val="ListParagraph"/>
        <w:numPr>
          <w:ilvl w:val="0"/>
          <w:numId w:val="2"/>
        </w:numPr>
      </w:pPr>
      <w:r w:rsidRPr="00287B72">
        <w:rPr>
          <w:i/>
        </w:rPr>
        <w:t>Practical Malware Analysis</w:t>
      </w:r>
      <w:r>
        <w:t xml:space="preserve"> by Michael Sikorski and Andrew Honig</w:t>
      </w:r>
    </w:p>
    <w:p w14:paraId="62F2CC36" w14:textId="77777777" w:rsidR="006279A2" w:rsidRPr="00753AFB" w:rsidRDefault="006279A2" w:rsidP="00B6572F">
      <w:pPr>
        <w:pStyle w:val="ListParagraph"/>
        <w:numPr>
          <w:ilvl w:val="1"/>
          <w:numId w:val="2"/>
        </w:numPr>
      </w:pPr>
      <w:r w:rsidRPr="00753AFB">
        <w:t>Chapter 1: Basic Static Techniques</w:t>
      </w:r>
    </w:p>
    <w:p w14:paraId="17912117" w14:textId="1EB6DD63" w:rsidR="006279A2" w:rsidRPr="00753AFB" w:rsidRDefault="006279A2" w:rsidP="00B6572F">
      <w:pPr>
        <w:pStyle w:val="ListParagraph"/>
        <w:numPr>
          <w:ilvl w:val="1"/>
          <w:numId w:val="2"/>
        </w:numPr>
      </w:pPr>
      <w:r w:rsidRPr="00753AFB">
        <w:t xml:space="preserve">Chapter </w:t>
      </w:r>
      <w:r>
        <w:t>6</w:t>
      </w:r>
      <w:r w:rsidRPr="00753AFB">
        <w:t xml:space="preserve">: </w:t>
      </w:r>
      <w:r>
        <w:t>Recognizing C Code Constructs in Assembly</w:t>
      </w:r>
    </w:p>
    <w:p w14:paraId="1E634ABF" w14:textId="72B4DD2C" w:rsidR="00AD3443" w:rsidRDefault="00B00C23" w:rsidP="00501C43">
      <w:pPr>
        <w:pStyle w:val="HeadingStyle1"/>
      </w:pPr>
      <w:bookmarkStart w:id="2" w:name="_Toc22024172"/>
      <w:r>
        <w:t>Introduction</w:t>
      </w:r>
      <w:bookmarkEnd w:id="2"/>
    </w:p>
    <w:p w14:paraId="02DCBA72" w14:textId="48413DDA" w:rsidR="00506503" w:rsidRDefault="00506503" w:rsidP="00506503">
      <w:r>
        <w:t>Decompilation, the translation from machine code to C source code, is another tool in the malware analyst’s tool box. While the decompiled C source code is not always as readable as assembly language, nor is it often very close to the original programmer-created C/C++ code, it can help in analyzing malware.</w:t>
      </w:r>
    </w:p>
    <w:p w14:paraId="68E95F88" w14:textId="77777777" w:rsidR="00506503" w:rsidRDefault="00506503" w:rsidP="00506503"/>
    <w:p w14:paraId="5C02E67C" w14:textId="674859B1" w:rsidR="00506503" w:rsidRDefault="00506503" w:rsidP="00506503">
      <w:r>
        <w:t>Malware often passes data between components on an infected system or between the infected system and the command and control server. Precise knowledge of these data structures is often required to fully analyze a sample or piece together information from an infected system.</w:t>
      </w:r>
    </w:p>
    <w:p w14:paraId="7650FA1C" w14:textId="77777777" w:rsidR="00506503" w:rsidRDefault="00506503" w:rsidP="00506503"/>
    <w:p w14:paraId="46C48115" w14:textId="1B9806ED" w:rsidR="00501C43" w:rsidRDefault="00506503" w:rsidP="00506503">
      <w:pPr>
        <w:pStyle w:val="ListParagraph"/>
        <w:spacing w:after="240"/>
        <w:ind w:left="0"/>
      </w:pPr>
      <w:r>
        <w:t>In this lab, you will analyze and precisely document the data structures used in the command and control loop.</w:t>
      </w:r>
    </w:p>
    <w:p w14:paraId="1789FA7A" w14:textId="22F2188D" w:rsidR="001860DE" w:rsidRDefault="001860DE" w:rsidP="00506503">
      <w:pPr>
        <w:pStyle w:val="ListParagraph"/>
        <w:spacing w:after="240"/>
        <w:ind w:left="0"/>
        <w:rPr>
          <w:lang w:eastAsia="en-CA"/>
        </w:rPr>
      </w:pPr>
    </w:p>
    <w:p w14:paraId="6E43326B" w14:textId="1FFB58FE" w:rsidR="001860DE" w:rsidRDefault="001860DE" w:rsidP="00506503">
      <w:pPr>
        <w:pStyle w:val="ListParagraph"/>
        <w:spacing w:after="240"/>
        <w:ind w:left="0"/>
        <w:rPr>
          <w:lang w:eastAsia="en-CA"/>
        </w:rPr>
      </w:pPr>
      <w:r>
        <w:rPr>
          <w:lang w:eastAsia="en-CA"/>
        </w:rPr>
        <w:t xml:space="preserve">Understanding the command and control loop will allow you to better identify potentially infected machines, as well as provide some containment insight during an incident response phase. Disassembly and Decompilation take considerable amounts of time and effort, so during a live incident you may not be using this stage for initial identification and containment efforts due to time constraints. You </w:t>
      </w:r>
      <w:r w:rsidR="005E2BFA">
        <w:rPr>
          <w:lang w:eastAsia="en-CA"/>
        </w:rPr>
        <w:t xml:space="preserve">will however want to conduct decompilation steps during root cause analysis phases, and prior to completing the report, as you may find additional indicators of compromise here, as well as further identifying how the malware took control of the system. </w:t>
      </w:r>
    </w:p>
    <w:p w14:paraId="1EAE4E37" w14:textId="77777777" w:rsidR="005E2BFA" w:rsidRDefault="005E2BFA" w:rsidP="00506503">
      <w:pPr>
        <w:pStyle w:val="ListParagraph"/>
        <w:spacing w:after="240"/>
        <w:ind w:left="0"/>
        <w:rPr>
          <w:lang w:eastAsia="en-CA"/>
        </w:rPr>
      </w:pPr>
    </w:p>
    <w:p w14:paraId="065E9491" w14:textId="77777777" w:rsidR="005E2BFA" w:rsidRDefault="005E2BFA" w:rsidP="00506503">
      <w:pPr>
        <w:pStyle w:val="ListParagraph"/>
        <w:spacing w:after="240"/>
        <w:ind w:left="0"/>
        <w:rPr>
          <w:lang w:eastAsia="en-CA"/>
        </w:rPr>
      </w:pPr>
    </w:p>
    <w:p w14:paraId="6A3401F0" w14:textId="77777777" w:rsidR="005E2BFA" w:rsidRPr="00501C43" w:rsidRDefault="005E2BFA" w:rsidP="00506503">
      <w:pPr>
        <w:pStyle w:val="ListParagraph"/>
        <w:spacing w:after="240"/>
        <w:ind w:left="0"/>
        <w:rPr>
          <w:lang w:eastAsia="en-CA"/>
        </w:rPr>
      </w:pPr>
    </w:p>
    <w:p w14:paraId="2D16B910" w14:textId="49D44212" w:rsidR="00E87B6C" w:rsidRDefault="00506503" w:rsidP="004D505B">
      <w:pPr>
        <w:pStyle w:val="HeadingStyle1"/>
        <w:numPr>
          <w:ilvl w:val="0"/>
          <w:numId w:val="8"/>
        </w:numPr>
        <w:tabs>
          <w:tab w:val="left" w:pos="540"/>
        </w:tabs>
        <w:ind w:left="540" w:hanging="540"/>
      </w:pPr>
      <w:bookmarkStart w:id="3" w:name="_Toc22024173"/>
      <w:r>
        <w:lastRenderedPageBreak/>
        <w:t>Digging More Deeply into the Command and Control Loop</w:t>
      </w:r>
      <w:bookmarkEnd w:id="3"/>
    </w:p>
    <w:p w14:paraId="5E6261F9" w14:textId="159963AC" w:rsidR="009539CD" w:rsidRDefault="00501C43" w:rsidP="00036C93">
      <w:pPr>
        <w:pStyle w:val="Heading2"/>
        <w:ind w:left="540" w:hanging="540"/>
      </w:pPr>
      <w:bookmarkStart w:id="4" w:name="_Toc22024174"/>
      <w:r>
        <w:t>1</w:t>
      </w:r>
      <w:r w:rsidR="00762798">
        <w:t>.1</w:t>
      </w:r>
      <w:r w:rsidR="00762798">
        <w:tab/>
      </w:r>
      <w:r w:rsidR="003B7A1F" w:rsidRPr="003B7A1F">
        <w:t xml:space="preserve">Using the </w:t>
      </w:r>
      <w:r w:rsidR="00C52139">
        <w:t>Ghidra Decompiler</w:t>
      </w:r>
      <w:bookmarkEnd w:id="4"/>
    </w:p>
    <w:p w14:paraId="5B97EEDD" w14:textId="56345C60" w:rsidR="003B7A1F" w:rsidRDefault="003B7A1F" w:rsidP="00036C93">
      <w:r w:rsidRPr="003B7A1F">
        <w:t xml:space="preserve">In the last lab, </w:t>
      </w:r>
      <w:r w:rsidR="004D505B">
        <w:t>you</w:t>
      </w:r>
      <w:r w:rsidR="004D505B" w:rsidRPr="003B7A1F">
        <w:t xml:space="preserve"> </w:t>
      </w:r>
      <w:r w:rsidRPr="003B7A1F">
        <w:t xml:space="preserve">analyzed </w:t>
      </w:r>
      <w:r>
        <w:t xml:space="preserve">the </w:t>
      </w:r>
      <w:r w:rsidRPr="004D505B">
        <w:rPr>
          <w:b/>
        </w:rPr>
        <w:t>3094a3db6068be414fd060c2cfd4b10a81961d349393fe 6e07a65423d160729c.bin</w:t>
      </w:r>
      <w:r>
        <w:t xml:space="preserve"> file</w:t>
      </w:r>
      <w:r w:rsidRPr="003B7A1F">
        <w:t xml:space="preserve">. In this lab, </w:t>
      </w:r>
      <w:r w:rsidR="004D505B">
        <w:t>you</w:t>
      </w:r>
      <w:r w:rsidRPr="003B7A1F">
        <w:t xml:space="preserve"> </w:t>
      </w:r>
      <w:r>
        <w:t xml:space="preserve">will </w:t>
      </w:r>
      <w:r w:rsidRPr="003B7A1F">
        <w:t>take a more detailed look at the command and control loop</w:t>
      </w:r>
      <w:r>
        <w:t xml:space="preserve">. </w:t>
      </w:r>
      <w:r w:rsidRPr="003B7A1F">
        <w:t>Reading and understanding the functionality of command and control loop</w:t>
      </w:r>
      <w:r w:rsidR="004D505B">
        <w:t>s</w:t>
      </w:r>
      <w:r w:rsidRPr="003B7A1F">
        <w:t xml:space="preserve"> using </w:t>
      </w:r>
      <w:r w:rsidR="00C52139">
        <w:t>Ghidra</w:t>
      </w:r>
      <w:r w:rsidRPr="003B7A1F">
        <w:t xml:space="preserve"> can be made more efficient </w:t>
      </w:r>
      <w:r w:rsidR="004D505B">
        <w:t xml:space="preserve">if you </w:t>
      </w:r>
      <w:r w:rsidRPr="003B7A1F">
        <w:t>tak</w:t>
      </w:r>
      <w:r w:rsidR="004D505B">
        <w:t>e</w:t>
      </w:r>
      <w:r w:rsidRPr="003B7A1F">
        <w:t xml:space="preserve"> advantage of </w:t>
      </w:r>
      <w:r w:rsidR="00C52139">
        <w:t>Ghidra’s</w:t>
      </w:r>
      <w:r w:rsidRPr="003B7A1F">
        <w:t xml:space="preserve"> decompiler</w:t>
      </w:r>
      <w:r>
        <w:t>.</w:t>
      </w:r>
      <w:r w:rsidR="00482A00">
        <w:t xml:space="preserve"> The below graphic is from IDA Pro, but the logic remains sound. </w:t>
      </w:r>
    </w:p>
    <w:p w14:paraId="69BD0C91" w14:textId="1498148F" w:rsidR="003B7A1F" w:rsidRDefault="003B7A1F" w:rsidP="007744FB">
      <w:pPr>
        <w:ind w:left="720"/>
        <w:jc w:val="center"/>
      </w:pPr>
      <w:r w:rsidRPr="005C3495">
        <w:rPr>
          <w:noProof/>
          <w:lang w:eastAsia="en-CA"/>
        </w:rPr>
        <w:drawing>
          <wp:inline distT="0" distB="0" distL="0" distR="0" wp14:anchorId="29596B6C" wp14:editId="2BCEE071">
            <wp:extent cx="5195650" cy="1838462"/>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832" cy="1845250"/>
                    </a:xfrm>
                    <a:prstGeom prst="rect">
                      <a:avLst/>
                    </a:prstGeom>
                  </pic:spPr>
                </pic:pic>
              </a:graphicData>
            </a:graphic>
          </wp:inline>
        </w:drawing>
      </w:r>
    </w:p>
    <w:p w14:paraId="13268BAB" w14:textId="51A6F471" w:rsidR="003B7A1F" w:rsidRDefault="003B7A1F" w:rsidP="007744FB">
      <w:pPr>
        <w:pStyle w:val="SAITCaption"/>
        <w:ind w:left="720"/>
      </w:pPr>
      <w:r w:rsidRPr="000537E5">
        <w:t xml:space="preserve">Figure 1: </w:t>
      </w:r>
      <w:r>
        <w:t xml:space="preserve">Portion of </w:t>
      </w:r>
      <w:r w:rsidR="004D505B">
        <w:t xml:space="preserve">a </w:t>
      </w:r>
      <w:r w:rsidR="0021296C">
        <w:t>C</w:t>
      </w:r>
      <w:r>
        <w:t xml:space="preserve">ommand and </w:t>
      </w:r>
      <w:r w:rsidR="0021296C">
        <w:t>C</w:t>
      </w:r>
      <w:r>
        <w:t xml:space="preserve">ontrol </w:t>
      </w:r>
      <w:r w:rsidR="0021296C">
        <w:t>L</w:t>
      </w:r>
      <w:r>
        <w:t>oop</w:t>
      </w:r>
    </w:p>
    <w:p w14:paraId="0BC923C3" w14:textId="33BF69E4" w:rsidR="003B7A1F" w:rsidRPr="0044631B" w:rsidRDefault="003B7A1F" w:rsidP="007744FB">
      <w:pPr>
        <w:pStyle w:val="SAITCaption"/>
        <w:spacing w:before="0"/>
        <w:ind w:left="720"/>
        <w:rPr>
          <w:b w:val="0"/>
          <w:sz w:val="18"/>
        </w:rPr>
      </w:pPr>
      <w:r w:rsidRPr="0044631B">
        <w:rPr>
          <w:b w:val="0"/>
          <w:sz w:val="18"/>
        </w:rPr>
        <w:t xml:space="preserve">Source: </w:t>
      </w:r>
      <w:r>
        <w:rPr>
          <w:b w:val="0"/>
          <w:sz w:val="18"/>
        </w:rPr>
        <w:t>IDA Pro</w:t>
      </w:r>
      <w:r w:rsidRPr="0044631B">
        <w:rPr>
          <w:b w:val="0"/>
          <w:sz w:val="18"/>
        </w:rPr>
        <w:t xml:space="preserve">, 2016. </w:t>
      </w:r>
      <w:r w:rsidR="00036C93" w:rsidRPr="00036C93">
        <w:rPr>
          <w:b w:val="0"/>
          <w:sz w:val="18"/>
        </w:rPr>
        <w:t>Reproduced and used in accordance with the fair dealing provisions in section 29 of the Canadian Copyright Act for the purposes of education, research or private study. Further distribution may infringe copyright.</w:t>
      </w:r>
    </w:p>
    <w:p w14:paraId="5C138C3F" w14:textId="77777777" w:rsidR="003B7A1F" w:rsidRPr="003B7A1F" w:rsidRDefault="003B7A1F" w:rsidP="007744FB">
      <w:pPr>
        <w:ind w:left="720"/>
      </w:pPr>
    </w:p>
    <w:p w14:paraId="7D507C44" w14:textId="711C5ECB" w:rsidR="0021296C" w:rsidRDefault="003B7A1F" w:rsidP="00E01D2A">
      <w:pPr>
        <w:pStyle w:val="ListParagraph"/>
        <w:numPr>
          <w:ilvl w:val="0"/>
          <w:numId w:val="25"/>
        </w:numPr>
        <w:spacing w:after="120"/>
        <w:ind w:left="1080"/>
        <w:contextualSpacing w:val="0"/>
      </w:pPr>
      <w:r>
        <w:t>O</w:t>
      </w:r>
      <w:r w:rsidRPr="003B7A1F">
        <w:t xml:space="preserve">pen the sample in </w:t>
      </w:r>
      <w:r w:rsidR="001860DE">
        <w:t>Ghidra</w:t>
      </w:r>
      <w:r w:rsidRPr="003B7A1F">
        <w:t xml:space="preserve"> and return to the command and control function</w:t>
      </w:r>
      <w:r>
        <w:t>, which can be found at 0x401440.</w:t>
      </w:r>
    </w:p>
    <w:p w14:paraId="1DF59330" w14:textId="2752B0AF" w:rsidR="001860DE" w:rsidRDefault="001860DE" w:rsidP="001860DE">
      <w:pPr>
        <w:spacing w:after="120"/>
      </w:pPr>
      <w:r>
        <w:rPr>
          <w:noProof/>
          <w:lang w:eastAsia="en-CA"/>
        </w:rPr>
        <w:drawing>
          <wp:inline distT="0" distB="0" distL="0" distR="0" wp14:anchorId="2A50ECA3" wp14:editId="781ADDEE">
            <wp:extent cx="5943600" cy="107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2515"/>
                    </a:xfrm>
                    <a:prstGeom prst="rect">
                      <a:avLst/>
                    </a:prstGeom>
                  </pic:spPr>
                </pic:pic>
              </a:graphicData>
            </a:graphic>
          </wp:inline>
        </w:drawing>
      </w:r>
    </w:p>
    <w:p w14:paraId="5EEE9A86" w14:textId="19B972A8" w:rsidR="00C862D0" w:rsidRDefault="003B7A1F" w:rsidP="00E01D2A">
      <w:pPr>
        <w:pStyle w:val="ListParagraph"/>
        <w:numPr>
          <w:ilvl w:val="0"/>
          <w:numId w:val="25"/>
        </w:numPr>
        <w:spacing w:after="120"/>
        <w:ind w:left="1080"/>
        <w:contextualSpacing w:val="0"/>
      </w:pPr>
      <w:r w:rsidRPr="0021296C">
        <w:t>During the previous lab, you changed the DWORDs</w:t>
      </w:r>
      <w:r w:rsidR="0021296C">
        <w:t>,</w:t>
      </w:r>
      <w:r w:rsidRPr="0021296C">
        <w:t xml:space="preserve"> which represent command and control commands</w:t>
      </w:r>
      <w:r w:rsidR="0021296C">
        <w:t>,</w:t>
      </w:r>
      <w:r w:rsidRPr="0021296C">
        <w:t xml:space="preserve"> to their ASCII equivalents. For exampl</w:t>
      </w:r>
      <w:r w:rsidR="0021296C">
        <w:t xml:space="preserve">e, the DWORD 44574C44h becomes </w:t>
      </w:r>
      <w:r w:rsidRPr="0021296C">
        <w:t>DWLD</w:t>
      </w:r>
      <w:r w:rsidR="0021296C">
        <w:t>.</w:t>
      </w:r>
    </w:p>
    <w:p w14:paraId="7A704DA7" w14:textId="77777777" w:rsidR="00C862D0" w:rsidRDefault="00C862D0">
      <w:pPr>
        <w:spacing w:line="240" w:lineRule="auto"/>
      </w:pPr>
      <w:r>
        <w:br w:type="page"/>
      </w:r>
    </w:p>
    <w:p w14:paraId="05919921" w14:textId="77777777" w:rsidR="00C862D0" w:rsidRDefault="003703C9" w:rsidP="00C862D0">
      <w:pPr>
        <w:pStyle w:val="ListParagraph"/>
        <w:numPr>
          <w:ilvl w:val="0"/>
          <w:numId w:val="25"/>
        </w:numPr>
        <w:spacing w:after="120"/>
        <w:contextualSpacing w:val="0"/>
      </w:pPr>
      <w:r>
        <w:lastRenderedPageBreak/>
        <w:t xml:space="preserve">Ghidra will decompile </w:t>
      </w:r>
      <w:r w:rsidR="00C862D0">
        <w:t>the functions as they appear on your view, however to kick start the process a little faster complete the following steps:</w:t>
      </w:r>
    </w:p>
    <w:p w14:paraId="528B0E33" w14:textId="45C0CAB1" w:rsidR="00C862D0" w:rsidRDefault="00C862D0" w:rsidP="00C862D0">
      <w:pPr>
        <w:pStyle w:val="ListParagraph"/>
        <w:numPr>
          <w:ilvl w:val="1"/>
          <w:numId w:val="25"/>
        </w:numPr>
        <w:spacing w:after="120"/>
        <w:contextualSpacing w:val="0"/>
      </w:pPr>
      <w:r>
        <w:t>In the program trees section, double click the root of the binary you’re analyzing:</w:t>
      </w:r>
    </w:p>
    <w:p w14:paraId="170FC7C4" w14:textId="265E95DC" w:rsidR="00C862D0" w:rsidRDefault="00C862D0" w:rsidP="00C862D0">
      <w:pPr>
        <w:pStyle w:val="ListParagraph"/>
        <w:spacing w:after="120"/>
        <w:ind w:left="1440"/>
        <w:contextualSpacing w:val="0"/>
        <w:jc w:val="center"/>
      </w:pPr>
      <w:r>
        <w:rPr>
          <w:noProof/>
          <w:lang w:eastAsia="en-CA"/>
        </w:rPr>
        <w:drawing>
          <wp:inline distT="0" distB="0" distL="0" distR="0" wp14:anchorId="15A7D58B" wp14:editId="62B7E6F2">
            <wp:extent cx="1924149" cy="222261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149" cy="2222614"/>
                    </a:xfrm>
                    <a:prstGeom prst="rect">
                      <a:avLst/>
                    </a:prstGeom>
                  </pic:spPr>
                </pic:pic>
              </a:graphicData>
            </a:graphic>
          </wp:inline>
        </w:drawing>
      </w:r>
    </w:p>
    <w:p w14:paraId="3499097B" w14:textId="77777777" w:rsidR="00C862D0" w:rsidRDefault="00C862D0" w:rsidP="00C862D0">
      <w:pPr>
        <w:pStyle w:val="ListParagraph"/>
        <w:numPr>
          <w:ilvl w:val="1"/>
          <w:numId w:val="25"/>
        </w:numPr>
        <w:spacing w:after="120"/>
        <w:contextualSpacing w:val="0"/>
      </w:pPr>
      <w:r>
        <w:t>Inside the disassembly view, click anywhere inside the window, and press CTRL+A to highlight the whole program</w:t>
      </w:r>
    </w:p>
    <w:p w14:paraId="4423CD9F" w14:textId="7DCFAD9F" w:rsidR="00C862D0" w:rsidRDefault="00C862D0" w:rsidP="00C862D0">
      <w:pPr>
        <w:pStyle w:val="ListParagraph"/>
        <w:spacing w:after="120"/>
        <w:ind w:left="1440"/>
        <w:contextualSpacing w:val="0"/>
        <w:jc w:val="center"/>
      </w:pPr>
      <w:r>
        <w:rPr>
          <w:noProof/>
          <w:lang w:eastAsia="en-CA"/>
        </w:rPr>
        <w:drawing>
          <wp:inline distT="0" distB="0" distL="0" distR="0" wp14:anchorId="2344A82C" wp14:editId="2A735DF0">
            <wp:extent cx="5943600" cy="4477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7385"/>
                    </a:xfrm>
                    <a:prstGeom prst="rect">
                      <a:avLst/>
                    </a:prstGeom>
                  </pic:spPr>
                </pic:pic>
              </a:graphicData>
            </a:graphic>
          </wp:inline>
        </w:drawing>
      </w:r>
    </w:p>
    <w:p w14:paraId="655A2153" w14:textId="77777777" w:rsidR="00C862D0" w:rsidRDefault="00C862D0" w:rsidP="00C862D0">
      <w:pPr>
        <w:pStyle w:val="ListParagraph"/>
        <w:numPr>
          <w:ilvl w:val="1"/>
          <w:numId w:val="25"/>
        </w:numPr>
        <w:spacing w:after="120"/>
        <w:contextualSpacing w:val="0"/>
      </w:pPr>
      <w:r>
        <w:lastRenderedPageBreak/>
        <w:t>Right click, and select Disassemble</w:t>
      </w:r>
    </w:p>
    <w:p w14:paraId="26E79708" w14:textId="432076B2" w:rsidR="00C862D0" w:rsidRDefault="00C862D0" w:rsidP="00C862D0">
      <w:pPr>
        <w:pStyle w:val="ListParagraph"/>
        <w:spacing w:after="120"/>
        <w:ind w:left="1440"/>
        <w:contextualSpacing w:val="0"/>
        <w:jc w:val="center"/>
      </w:pPr>
      <w:r>
        <w:rPr>
          <w:noProof/>
          <w:lang w:eastAsia="en-CA"/>
        </w:rPr>
        <w:drawing>
          <wp:inline distT="0" distB="0" distL="0" distR="0" wp14:anchorId="4F765F8F" wp14:editId="46E272E9">
            <wp:extent cx="3316738" cy="309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3841" cy="3099073"/>
                    </a:xfrm>
                    <a:prstGeom prst="rect">
                      <a:avLst/>
                    </a:prstGeom>
                  </pic:spPr>
                </pic:pic>
              </a:graphicData>
            </a:graphic>
          </wp:inline>
        </w:drawing>
      </w:r>
    </w:p>
    <w:p w14:paraId="58D4B7D8" w14:textId="785F1C6C" w:rsidR="00C862D0" w:rsidRDefault="00C862D0" w:rsidP="00C862D0">
      <w:pPr>
        <w:pStyle w:val="ListParagraph"/>
        <w:numPr>
          <w:ilvl w:val="1"/>
          <w:numId w:val="25"/>
        </w:numPr>
        <w:spacing w:after="120"/>
        <w:contextualSpacing w:val="0"/>
      </w:pPr>
      <w:r>
        <w:t>Ghidra will go through and disassemble the entirety of the program. When you access the function, you will see the decompiled source code listed on the right hand side of the screen</w:t>
      </w:r>
    </w:p>
    <w:p w14:paraId="73D25BE2" w14:textId="74BE95B9" w:rsidR="00C862D0" w:rsidRDefault="00C862D0" w:rsidP="00C862D0">
      <w:pPr>
        <w:pStyle w:val="ListParagraph"/>
        <w:spacing w:after="120"/>
        <w:ind w:left="1440"/>
        <w:contextualSpacing w:val="0"/>
        <w:jc w:val="center"/>
      </w:pPr>
      <w:r w:rsidRPr="00C862D0">
        <w:rPr>
          <w:noProof/>
          <w:lang w:eastAsia="en-CA"/>
        </w:rPr>
        <w:drawing>
          <wp:inline distT="0" distB="0" distL="0" distR="0" wp14:anchorId="4E82D803" wp14:editId="63E02C3F">
            <wp:extent cx="1847850" cy="350236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2536" cy="3511244"/>
                    </a:xfrm>
                    <a:prstGeom prst="rect">
                      <a:avLst/>
                    </a:prstGeom>
                  </pic:spPr>
                </pic:pic>
              </a:graphicData>
            </a:graphic>
          </wp:inline>
        </w:drawing>
      </w:r>
    </w:p>
    <w:p w14:paraId="3F51CA49" w14:textId="674B8FB3" w:rsidR="0021296C" w:rsidRDefault="0021296C" w:rsidP="00C862D0">
      <w:pPr>
        <w:pStyle w:val="ListParagraph"/>
        <w:spacing w:after="120"/>
        <w:contextualSpacing w:val="0"/>
        <w:jc w:val="center"/>
      </w:pPr>
    </w:p>
    <w:p w14:paraId="102CBBDA" w14:textId="47C71CC1" w:rsidR="00C862D0" w:rsidRDefault="00C862D0" w:rsidP="00C862D0">
      <w:pPr>
        <w:spacing w:after="120"/>
      </w:pPr>
      <w:r>
        <w:tab/>
      </w:r>
    </w:p>
    <w:p w14:paraId="06C66EB4" w14:textId="77777777" w:rsidR="00C862D0" w:rsidRDefault="00C862D0" w:rsidP="00C862D0">
      <w:pPr>
        <w:pStyle w:val="ListParagraph"/>
        <w:spacing w:after="120"/>
        <w:contextualSpacing w:val="0"/>
        <w:jc w:val="center"/>
      </w:pPr>
    </w:p>
    <w:p w14:paraId="71DEAE02" w14:textId="77777777" w:rsidR="00C862D0" w:rsidRPr="0021296C" w:rsidRDefault="00C862D0" w:rsidP="00C862D0">
      <w:pPr>
        <w:pStyle w:val="ListParagraph"/>
        <w:spacing w:after="120"/>
        <w:contextualSpacing w:val="0"/>
      </w:pPr>
    </w:p>
    <w:p w14:paraId="325C2E54" w14:textId="4497635E" w:rsidR="0021296C" w:rsidRDefault="0021296C" w:rsidP="00036C93">
      <w:pPr>
        <w:pStyle w:val="SourceCode"/>
        <w:spacing w:after="120"/>
        <w:ind w:left="720"/>
        <w:jc w:val="center"/>
        <w:rPr>
          <w:rFonts w:ascii="Arial" w:eastAsia="Times New Roman" w:hAnsi="Arial" w:cs="Arial"/>
          <w:color w:val="auto"/>
          <w:sz w:val="22"/>
          <w:szCs w:val="22"/>
          <w:lang w:eastAsia="en-US" w:bidi="ar-SA"/>
        </w:rPr>
      </w:pPr>
    </w:p>
    <w:p w14:paraId="470F66BE" w14:textId="04F321F9" w:rsidR="0021296C" w:rsidRPr="0044631B" w:rsidRDefault="0021296C" w:rsidP="00036C93">
      <w:pPr>
        <w:pStyle w:val="SAITCaption"/>
        <w:spacing w:before="0"/>
        <w:ind w:left="720"/>
        <w:rPr>
          <w:b w:val="0"/>
          <w:sz w:val="18"/>
        </w:rPr>
      </w:pPr>
      <w:r w:rsidRPr="0044631B">
        <w:rPr>
          <w:b w:val="0"/>
          <w:sz w:val="18"/>
        </w:rPr>
        <w:t xml:space="preserve">Source: </w:t>
      </w:r>
      <w:r w:rsidR="002D6462">
        <w:rPr>
          <w:b w:val="0"/>
          <w:sz w:val="18"/>
        </w:rPr>
        <w:t>Ghidra v9.1</w:t>
      </w:r>
      <w:r w:rsidRPr="0044631B">
        <w:rPr>
          <w:b w:val="0"/>
          <w:sz w:val="18"/>
        </w:rPr>
        <w:t>, 201</w:t>
      </w:r>
      <w:r w:rsidR="002D6462">
        <w:rPr>
          <w:b w:val="0"/>
          <w:sz w:val="18"/>
        </w:rPr>
        <w:t>9</w:t>
      </w:r>
      <w:r w:rsidRPr="0044631B">
        <w:rPr>
          <w:b w:val="0"/>
          <w:sz w:val="18"/>
        </w:rPr>
        <w:t xml:space="preserve">. </w:t>
      </w:r>
      <w:r w:rsidR="00036C93" w:rsidRPr="00036C93">
        <w:rPr>
          <w:b w:val="0"/>
          <w:sz w:val="18"/>
        </w:rPr>
        <w:t>Reproduced and used in accordance with the fair dealing provisions in section 29 of the Canadian Copyright Act for the purposes of education, research or private study. Further distribution may infringe copyright.</w:t>
      </w:r>
    </w:p>
    <w:p w14:paraId="1E5DC624" w14:textId="77777777" w:rsidR="0021296C" w:rsidRPr="001D212A" w:rsidRDefault="0021296C" w:rsidP="00E01D2A">
      <w:pPr>
        <w:pStyle w:val="ListParagraph"/>
      </w:pPr>
    </w:p>
    <w:p w14:paraId="2B5EED88" w14:textId="1C3300F3" w:rsidR="0021296C" w:rsidRDefault="0021296C" w:rsidP="00E01D2A">
      <w:pPr>
        <w:pStyle w:val="ListParagraph"/>
        <w:numPr>
          <w:ilvl w:val="0"/>
          <w:numId w:val="25"/>
        </w:numPr>
        <w:spacing w:after="120"/>
        <w:ind w:left="1080"/>
        <w:contextualSpacing w:val="0"/>
      </w:pPr>
      <w:r w:rsidRPr="0021296C">
        <w:t>Compare the pseudocode output to the assembly code. Trace execution flow between the assembly code and the pseudo code. Do you find one easier to follow than the other? (</w:t>
      </w:r>
      <w:r>
        <w:t>This isn’t</w:t>
      </w:r>
      <w:r w:rsidRPr="0021296C">
        <w:t xml:space="preserve"> a trick question</w:t>
      </w:r>
      <w:r>
        <w:t>.</w:t>
      </w:r>
      <w:r w:rsidRPr="0021296C">
        <w:t xml:space="preserve"> </w:t>
      </w:r>
      <w:r>
        <w:t>M</w:t>
      </w:r>
      <w:r w:rsidRPr="0021296C">
        <w:t>any experienced malware analysts find assembly easier to follow</w:t>
      </w:r>
      <w:r>
        <w:t>.</w:t>
      </w:r>
      <w:r w:rsidRPr="0021296C">
        <w:t>)</w:t>
      </w:r>
    </w:p>
    <w:p w14:paraId="57FB3D5B" w14:textId="4158DD4E" w:rsidR="00B24030" w:rsidRPr="0021296C" w:rsidRDefault="00E565C2" w:rsidP="00B24030">
      <w:pPr>
        <w:pStyle w:val="ListParagraph"/>
        <w:spacing w:after="120"/>
        <w:ind w:left="1440"/>
        <w:contextualSpacing w:val="0"/>
      </w:pPr>
      <w:r>
        <w:t>Pseudo code is much easier to follow for me than assembly</w:t>
      </w:r>
    </w:p>
    <w:p w14:paraId="0337473B" w14:textId="6EF3385A" w:rsidR="0021296C" w:rsidRDefault="0021296C" w:rsidP="00E01D2A">
      <w:pPr>
        <w:pStyle w:val="ListParagraph"/>
        <w:numPr>
          <w:ilvl w:val="0"/>
          <w:numId w:val="25"/>
        </w:numPr>
        <w:spacing w:after="120"/>
        <w:ind w:left="1080"/>
        <w:contextualSpacing w:val="0"/>
      </w:pPr>
      <w:r w:rsidRPr="0021296C">
        <w:t xml:space="preserve">You can rename variables in the decompiled view in the same way you can in the assembly view. </w:t>
      </w:r>
      <w:r>
        <w:t>N</w:t>
      </w:r>
      <w:r w:rsidRPr="0021296C">
        <w:t>otice that most (if not all) of your changes to the assembly view carry over to the decompiled source code.</w:t>
      </w:r>
    </w:p>
    <w:p w14:paraId="6C051C02" w14:textId="11CA9D2E" w:rsidR="00D87D1A" w:rsidRDefault="00C62FAE" w:rsidP="008C044B">
      <w:pPr>
        <w:pStyle w:val="Heading2"/>
        <w:ind w:left="540" w:hanging="540"/>
      </w:pPr>
      <w:bookmarkStart w:id="5" w:name="_Toc22024175"/>
      <w:r>
        <w:t>1.2</w:t>
      </w:r>
      <w:r>
        <w:tab/>
      </w:r>
      <w:r w:rsidR="000A68EF" w:rsidRPr="000A68EF">
        <w:t xml:space="preserve">Documenting the </w:t>
      </w:r>
      <w:r w:rsidR="007F7CB0">
        <w:t>E</w:t>
      </w:r>
      <w:r w:rsidR="000A68EF" w:rsidRPr="000A68EF">
        <w:t xml:space="preserve">xact </w:t>
      </w:r>
      <w:r w:rsidR="007F7CB0">
        <w:t>F</w:t>
      </w:r>
      <w:r w:rsidR="000A68EF" w:rsidRPr="000A68EF">
        <w:t xml:space="preserve">ormat of </w:t>
      </w:r>
      <w:r w:rsidR="007F7CB0">
        <w:t>E</w:t>
      </w:r>
      <w:r w:rsidR="000A68EF" w:rsidRPr="000A68EF">
        <w:t xml:space="preserve">ach </w:t>
      </w:r>
      <w:r w:rsidR="007F7CB0">
        <w:t>C</w:t>
      </w:r>
      <w:r w:rsidR="000A68EF" w:rsidRPr="000A68EF">
        <w:t>ommand</w:t>
      </w:r>
      <w:bookmarkEnd w:id="5"/>
    </w:p>
    <w:p w14:paraId="6624106C" w14:textId="24FCA1DD" w:rsidR="000A68EF" w:rsidRDefault="000A68EF" w:rsidP="00036C93">
      <w:r>
        <w:t>Consider the common command “copy,” used to copy a file from one location to another. Most operating systems implement a form of the copy command as follows:</w:t>
      </w:r>
    </w:p>
    <w:p w14:paraId="1096F387" w14:textId="77777777" w:rsidR="000A68EF" w:rsidRPr="003456F3" w:rsidRDefault="000A68EF" w:rsidP="00036C93">
      <w:pPr>
        <w:pStyle w:val="CodeBlock"/>
        <w:pBdr>
          <w:top w:val="none" w:sz="0" w:space="0" w:color="auto"/>
          <w:left w:val="none" w:sz="0" w:space="0" w:color="auto"/>
          <w:bottom w:val="none" w:sz="0" w:space="0" w:color="auto"/>
          <w:right w:val="none" w:sz="0" w:space="0" w:color="auto"/>
        </w:pBdr>
        <w:ind w:firstLine="720"/>
        <w:rPr>
          <w:sz w:val="22"/>
        </w:rPr>
      </w:pPr>
      <w:r w:rsidRPr="003456F3">
        <w:rPr>
          <w:sz w:val="22"/>
        </w:rPr>
        <w:t>copy from to</w:t>
      </w:r>
    </w:p>
    <w:p w14:paraId="0A0931ED" w14:textId="74C91339" w:rsidR="000A68EF" w:rsidRDefault="007F7CB0" w:rsidP="00036C93">
      <w:r>
        <w:t>T</w:t>
      </w:r>
      <w:r w:rsidR="000A68EF">
        <w:t>he mnemonic “copy” identifies the command (usually a</w:t>
      </w:r>
      <w:r w:rsidR="008B1704">
        <w:t xml:space="preserve"> verb)</w:t>
      </w:r>
      <w:r w:rsidR="000A68EF">
        <w:t xml:space="preserve">. The copy command needs at least two command line arguments, what to copy </w:t>
      </w:r>
      <w:r w:rsidR="008B1704">
        <w:t xml:space="preserve">(from) </w:t>
      </w:r>
      <w:r w:rsidR="000A68EF">
        <w:t>and where to copy it</w:t>
      </w:r>
      <w:r w:rsidR="008B1704">
        <w:t xml:space="preserve"> (to)</w:t>
      </w:r>
      <w:r w:rsidR="00943F81">
        <w:t>.</w:t>
      </w:r>
      <w:r w:rsidR="000A68EF">
        <w:t xml:space="preserve"> </w:t>
      </w:r>
      <w:r w:rsidR="00943F81">
        <w:t>I</w:t>
      </w:r>
      <w:r w:rsidR="000A68EF">
        <w:t>t</w:t>
      </w:r>
      <w:r w:rsidR="008B1704">
        <w:t xml:space="preserve"> </w:t>
      </w:r>
      <w:r w:rsidR="000A68EF">
        <w:t xml:space="preserve">doesn’t make sense with only one argument. In addition, you know when the command verb ends and the first argument begins because they are delimited by a space. </w:t>
      </w:r>
    </w:p>
    <w:p w14:paraId="5956AFED" w14:textId="77777777" w:rsidR="00036C93" w:rsidRDefault="00036C93" w:rsidP="00036C93"/>
    <w:p w14:paraId="2C4AABEF" w14:textId="77777777" w:rsidR="007F7CB0" w:rsidRDefault="000A68EF" w:rsidP="00036C93">
      <w:r>
        <w:t>Within a program</w:t>
      </w:r>
      <w:r w:rsidR="007F7CB0">
        <w:t>,</w:t>
      </w:r>
      <w:r>
        <w:t xml:space="preserve"> commands (or messages) are passed by way of functions (usually on the stack or in registers)</w:t>
      </w:r>
      <w:r w:rsidR="007F7CB0">
        <w:t xml:space="preserve">. </w:t>
      </w:r>
      <w:r>
        <w:t>Commands or messages between programs ar</w:t>
      </w:r>
      <w:r w:rsidR="007F7CB0">
        <w:t>e passed using a data structure</w:t>
      </w:r>
      <w:r>
        <w:t xml:space="preserve"> agreed to by </w:t>
      </w:r>
      <w:r w:rsidR="007F7CB0">
        <w:t xml:space="preserve">the </w:t>
      </w:r>
      <w:r>
        <w:t>sender and the receiver</w:t>
      </w:r>
      <w:r w:rsidR="007F7CB0">
        <w:t xml:space="preserve">. </w:t>
      </w:r>
    </w:p>
    <w:p w14:paraId="6DA7EED6" w14:textId="77777777" w:rsidR="00036C93" w:rsidRDefault="00036C93" w:rsidP="00036C93"/>
    <w:p w14:paraId="747B2576" w14:textId="3E533A43" w:rsidR="00AC7B98" w:rsidRDefault="00943F81" w:rsidP="00036C93">
      <w:r>
        <w:t xml:space="preserve">You </w:t>
      </w:r>
      <w:r w:rsidR="007F7CB0">
        <w:t>need to</w:t>
      </w:r>
      <w:r w:rsidR="000A68EF">
        <w:t xml:space="preserve"> identify the exact format for each of the </w:t>
      </w:r>
      <w:r w:rsidR="007F7CB0">
        <w:t>four</w:t>
      </w:r>
      <w:r w:rsidR="000A68EF">
        <w:t xml:space="preserve"> commands </w:t>
      </w:r>
      <w:r>
        <w:t xml:space="preserve">that the </w:t>
      </w:r>
      <w:r w:rsidR="000A68EF">
        <w:t xml:space="preserve">malware sample uses. </w:t>
      </w:r>
      <w:r>
        <w:t xml:space="preserve">You </w:t>
      </w:r>
      <w:r w:rsidR="000A68EF">
        <w:t xml:space="preserve">don’t have a pcap of the malware’s communication, so </w:t>
      </w:r>
      <w:r w:rsidR="003F2BF5">
        <w:t>use only</w:t>
      </w:r>
      <w:r w:rsidR="000A68EF">
        <w:t xml:space="preserve"> the assembly code and the decompiled code.</w:t>
      </w:r>
    </w:p>
    <w:p w14:paraId="19EEFD13" w14:textId="77777777" w:rsidR="00AC7B98" w:rsidRDefault="00AC7B98">
      <w:pPr>
        <w:spacing w:line="240" w:lineRule="auto"/>
      </w:pPr>
      <w:r>
        <w:br w:type="page"/>
      </w:r>
    </w:p>
    <w:p w14:paraId="5E827C7B" w14:textId="77777777" w:rsidR="00036C93" w:rsidRDefault="00036C93" w:rsidP="00036C93"/>
    <w:p w14:paraId="33592192" w14:textId="1E001666" w:rsidR="000A68EF" w:rsidRDefault="008C044B" w:rsidP="003456F3">
      <w:pPr>
        <w:spacing w:after="120"/>
      </w:pPr>
      <w:r>
        <w:t>The first table for the REST</w:t>
      </w:r>
      <w:r w:rsidR="000A68EF">
        <w:t xml:space="preserve"> command is filled out for you</w:t>
      </w:r>
      <w:r w:rsidR="003F2BF5">
        <w:t>:</w:t>
      </w:r>
    </w:p>
    <w:tbl>
      <w:tblPr>
        <w:tblStyle w:val="TableGrid"/>
        <w:tblW w:w="0" w:type="auto"/>
        <w:tblInd w:w="715" w:type="dxa"/>
        <w:tblLook w:val="04A0" w:firstRow="1" w:lastRow="0" w:firstColumn="1" w:lastColumn="0" w:noHBand="0" w:noVBand="1"/>
      </w:tblPr>
      <w:tblGrid>
        <w:gridCol w:w="1232"/>
        <w:gridCol w:w="2379"/>
        <w:gridCol w:w="5024"/>
      </w:tblGrid>
      <w:tr w:rsidR="000A68EF" w:rsidRPr="008B2EBF" w14:paraId="586D2AB0" w14:textId="77777777" w:rsidTr="003F2BF5">
        <w:tc>
          <w:tcPr>
            <w:tcW w:w="8635" w:type="dxa"/>
            <w:gridSpan w:val="3"/>
            <w:shd w:val="clear" w:color="auto" w:fill="D9D9D9" w:themeFill="background1" w:themeFillShade="D9"/>
          </w:tcPr>
          <w:p w14:paraId="7D69A1B2" w14:textId="77777777" w:rsidR="000A68EF" w:rsidRDefault="000A68EF" w:rsidP="00492BC1">
            <w:pPr>
              <w:spacing w:before="60" w:after="60"/>
              <w:jc w:val="center"/>
              <w:rPr>
                <w:b/>
              </w:rPr>
            </w:pPr>
            <w:r>
              <w:rPr>
                <w:b/>
              </w:rPr>
              <w:t>Command: REST</w:t>
            </w:r>
          </w:p>
        </w:tc>
      </w:tr>
      <w:tr w:rsidR="000A68EF" w:rsidRPr="00A70299" w14:paraId="07937026" w14:textId="77777777" w:rsidTr="003F2BF5">
        <w:tc>
          <w:tcPr>
            <w:tcW w:w="990" w:type="dxa"/>
            <w:shd w:val="clear" w:color="auto" w:fill="D9D9D9" w:themeFill="background1" w:themeFillShade="D9"/>
          </w:tcPr>
          <w:p w14:paraId="6F0B9A0C" w14:textId="77777777" w:rsidR="000A68EF" w:rsidRPr="008B2EBF" w:rsidRDefault="000A68EF" w:rsidP="00492BC1">
            <w:pPr>
              <w:spacing w:before="60" w:after="60"/>
              <w:rPr>
                <w:b/>
              </w:rPr>
            </w:pPr>
            <w:r>
              <w:rPr>
                <w:b/>
              </w:rPr>
              <w:t>Offset</w:t>
            </w:r>
          </w:p>
        </w:tc>
        <w:tc>
          <w:tcPr>
            <w:tcW w:w="2430" w:type="dxa"/>
            <w:shd w:val="clear" w:color="auto" w:fill="D9D9D9" w:themeFill="background1" w:themeFillShade="D9"/>
          </w:tcPr>
          <w:p w14:paraId="2B219EB8" w14:textId="77777777" w:rsidR="000A68EF" w:rsidRPr="008B2EBF" w:rsidRDefault="000A68EF" w:rsidP="00492BC1">
            <w:pPr>
              <w:spacing w:before="60" w:after="60"/>
              <w:rPr>
                <w:b/>
              </w:rPr>
            </w:pPr>
            <w:r>
              <w:rPr>
                <w:b/>
              </w:rPr>
              <w:t>Data</w:t>
            </w:r>
          </w:p>
        </w:tc>
        <w:tc>
          <w:tcPr>
            <w:tcW w:w="5215" w:type="dxa"/>
            <w:shd w:val="clear" w:color="auto" w:fill="D9D9D9" w:themeFill="background1" w:themeFillShade="D9"/>
          </w:tcPr>
          <w:p w14:paraId="43D2C319" w14:textId="77777777" w:rsidR="000A68EF" w:rsidRDefault="000A68EF" w:rsidP="00492BC1">
            <w:pPr>
              <w:spacing w:before="60" w:after="60"/>
              <w:rPr>
                <w:b/>
              </w:rPr>
            </w:pPr>
            <w:r>
              <w:rPr>
                <w:b/>
              </w:rPr>
              <w:t>Description</w:t>
            </w:r>
          </w:p>
        </w:tc>
      </w:tr>
      <w:tr w:rsidR="000A68EF" w14:paraId="491D287A" w14:textId="77777777" w:rsidTr="003F2BF5">
        <w:tc>
          <w:tcPr>
            <w:tcW w:w="990" w:type="dxa"/>
          </w:tcPr>
          <w:p w14:paraId="3E422205" w14:textId="636F2419" w:rsidR="000A68EF" w:rsidRPr="00F62EC0" w:rsidRDefault="00793A4F" w:rsidP="00492BC1">
            <w:r>
              <w:t>0x4015DF</w:t>
            </w:r>
          </w:p>
        </w:tc>
        <w:tc>
          <w:tcPr>
            <w:tcW w:w="2430" w:type="dxa"/>
          </w:tcPr>
          <w:p w14:paraId="0A1FE6D9" w14:textId="2279BC07" w:rsidR="000A68EF" w:rsidRPr="00F62EC0" w:rsidRDefault="008C044B" w:rsidP="00793A4F">
            <w:r>
              <w:t>0x54534552 (REST</w:t>
            </w:r>
            <w:r w:rsidR="00793A4F">
              <w:t>)</w:t>
            </w:r>
          </w:p>
        </w:tc>
        <w:tc>
          <w:tcPr>
            <w:tcW w:w="5215" w:type="dxa"/>
          </w:tcPr>
          <w:p w14:paraId="04E7BBD2" w14:textId="77777777" w:rsidR="000A68EF" w:rsidRDefault="000A68EF" w:rsidP="00492BC1">
            <w:r>
              <w:t>The command verb used to instruct the command and control loop to sleep</w:t>
            </w:r>
          </w:p>
        </w:tc>
      </w:tr>
      <w:tr w:rsidR="000A68EF" w14:paraId="5E55F93D" w14:textId="77777777" w:rsidTr="003F2BF5">
        <w:trPr>
          <w:trHeight w:val="326"/>
        </w:trPr>
        <w:tc>
          <w:tcPr>
            <w:tcW w:w="990" w:type="dxa"/>
          </w:tcPr>
          <w:p w14:paraId="7EA6AB34" w14:textId="51D3DAEE" w:rsidR="000A68EF" w:rsidRPr="00F62EC0" w:rsidRDefault="000A68EF" w:rsidP="00492BC1">
            <w:r>
              <w:t>0x4</w:t>
            </w:r>
            <w:r w:rsidR="00AC7B98">
              <w:t>01769</w:t>
            </w:r>
          </w:p>
        </w:tc>
        <w:tc>
          <w:tcPr>
            <w:tcW w:w="2430" w:type="dxa"/>
          </w:tcPr>
          <w:p w14:paraId="5B02F6C1" w14:textId="77777777" w:rsidR="000A68EF" w:rsidRPr="00F62EC0" w:rsidRDefault="000A68EF" w:rsidP="00492BC1">
            <w:r>
              <w:t>32bit signed integer</w:t>
            </w:r>
          </w:p>
        </w:tc>
        <w:tc>
          <w:tcPr>
            <w:tcW w:w="5215" w:type="dxa"/>
          </w:tcPr>
          <w:p w14:paraId="1BC13689" w14:textId="77777777" w:rsidR="000A68EF" w:rsidRDefault="000A68EF" w:rsidP="00492BC1">
            <w:r>
              <w:t>The number of milliseconds to sleep, the value must be &gt;=0 and &lt;0x100000. If the value is outside of this range, the value 60000 (0xea60) is used</w:t>
            </w:r>
          </w:p>
        </w:tc>
      </w:tr>
    </w:tbl>
    <w:p w14:paraId="23478057" w14:textId="53F6AE4A" w:rsidR="000A68EF" w:rsidRDefault="003F2BF5" w:rsidP="003F2BF5">
      <w:pPr>
        <w:spacing w:before="240" w:after="120"/>
        <w:ind w:left="720"/>
      </w:pPr>
      <w:r w:rsidRPr="003F2BF5">
        <w:rPr>
          <w:b/>
        </w:rPr>
        <w:t>Goal:</w:t>
      </w:r>
      <w:r>
        <w:t xml:space="preserve"> </w:t>
      </w:r>
      <w:r w:rsidR="000A68EF">
        <w:t>Fill out the table</w:t>
      </w:r>
      <w:r>
        <w:t>s</w:t>
      </w:r>
      <w:r w:rsidR="000A68EF">
        <w:t xml:space="preserve"> for the remaining </w:t>
      </w:r>
      <w:r>
        <w:t>three</w:t>
      </w:r>
      <w:r w:rsidR="000A68EF">
        <w:t xml:space="preserve"> commands.</w:t>
      </w:r>
    </w:p>
    <w:p w14:paraId="71101047" w14:textId="104D6E87" w:rsidR="003F2BF5" w:rsidRDefault="003F2BF5" w:rsidP="003F2BF5">
      <w:pPr>
        <w:spacing w:before="240" w:after="60"/>
        <w:ind w:left="720"/>
      </w:pPr>
      <w:r>
        <w:rPr>
          <w:b/>
        </w:rPr>
        <w:t>Notes:</w:t>
      </w:r>
    </w:p>
    <w:p w14:paraId="091341A8" w14:textId="53FE22EE" w:rsidR="000A68EF" w:rsidRDefault="003F2BF5" w:rsidP="003F2BF5">
      <w:pPr>
        <w:pStyle w:val="ListParagraph"/>
        <w:numPr>
          <w:ilvl w:val="0"/>
          <w:numId w:val="2"/>
        </w:numPr>
        <w:ind w:left="1440"/>
      </w:pPr>
      <w:r>
        <w:t>N</w:t>
      </w:r>
      <w:r w:rsidR="000A68EF">
        <w:t>ot all parts of the command may appear at fixed offsets.</w:t>
      </w:r>
    </w:p>
    <w:p w14:paraId="42CA7869" w14:textId="1DB6CFDF" w:rsidR="000A68EF" w:rsidRDefault="000A68EF" w:rsidP="003F2BF5">
      <w:pPr>
        <w:pStyle w:val="ListParagraph"/>
        <w:numPr>
          <w:ilvl w:val="0"/>
          <w:numId w:val="2"/>
        </w:numPr>
        <w:ind w:left="1440"/>
      </w:pPr>
      <w:r>
        <w:t xml:space="preserve">Delete offsets from the table </w:t>
      </w:r>
      <w:r w:rsidR="003F2BF5">
        <w:t xml:space="preserve">that are </w:t>
      </w:r>
      <w:r>
        <w:t>not used by the command</w:t>
      </w:r>
      <w:r w:rsidR="003F2BF5">
        <w:t>.</w:t>
      </w:r>
    </w:p>
    <w:p w14:paraId="1E4F2ECE" w14:textId="77777777" w:rsidR="00165811" w:rsidRDefault="003F2BF5" w:rsidP="00B81747">
      <w:pPr>
        <w:pStyle w:val="ListParagraph"/>
        <w:numPr>
          <w:ilvl w:val="0"/>
          <w:numId w:val="2"/>
        </w:numPr>
        <w:spacing w:after="240"/>
        <w:ind w:left="1440"/>
        <w:contextualSpacing w:val="0"/>
      </w:pPr>
      <w:r>
        <w:t>By</w:t>
      </w:r>
      <w:r w:rsidR="000A68EF">
        <w:t xml:space="preserve"> using these tables</w:t>
      </w:r>
      <w:r>
        <w:t>,</w:t>
      </w:r>
      <w:r w:rsidR="000A68EF">
        <w:t xml:space="preserve"> you should be able to create valid commands for the malware.</w:t>
      </w:r>
    </w:p>
    <w:p w14:paraId="10137DB4" w14:textId="47FC6A54" w:rsidR="00165811" w:rsidRDefault="00165811" w:rsidP="00B81747">
      <w:pPr>
        <w:pStyle w:val="ListParagraph"/>
        <w:numPr>
          <w:ilvl w:val="0"/>
          <w:numId w:val="2"/>
        </w:numPr>
        <w:spacing w:after="240"/>
        <w:ind w:left="1440"/>
        <w:contextualSpacing w:val="0"/>
      </w:pPr>
      <w:r>
        <w:t xml:space="preserve">Each command may have fewer elements than you have boxes on the page. Simply delete the rows you don’t need or add more as you require. The number of rows under each command is </w:t>
      </w:r>
      <w:r w:rsidRPr="00165811">
        <w:rPr>
          <w:b/>
        </w:rPr>
        <w:t>NOT</w:t>
      </w:r>
      <w:r>
        <w:rPr>
          <w:b/>
        </w:rPr>
        <w:t xml:space="preserve"> </w:t>
      </w:r>
      <w:r>
        <w:t xml:space="preserve">an indication of how many elements you need to uncover. </w:t>
      </w:r>
    </w:p>
    <w:p w14:paraId="2C81AB2A" w14:textId="0A8B8504" w:rsidR="00165811" w:rsidRDefault="00165811" w:rsidP="00B81747">
      <w:pPr>
        <w:pStyle w:val="ListParagraph"/>
        <w:numPr>
          <w:ilvl w:val="0"/>
          <w:numId w:val="2"/>
        </w:numPr>
        <w:spacing w:after="240"/>
        <w:ind w:left="1440"/>
        <w:contextualSpacing w:val="0"/>
      </w:pPr>
      <w:r>
        <w:t>Some thing to keep in mind. String functions may require buffer space for processing, and often data structures such as arrays can be useful for loading contents and storing them in order.</w:t>
      </w:r>
    </w:p>
    <w:p w14:paraId="3987F640" w14:textId="77777777" w:rsidR="00165811" w:rsidRDefault="00165811">
      <w:pPr>
        <w:spacing w:line="240" w:lineRule="auto"/>
      </w:pPr>
      <w:r>
        <w:br w:type="page"/>
      </w:r>
    </w:p>
    <w:tbl>
      <w:tblPr>
        <w:tblStyle w:val="TableGrid"/>
        <w:tblW w:w="8874" w:type="dxa"/>
        <w:tblInd w:w="715" w:type="dxa"/>
        <w:tblLook w:val="04A0" w:firstRow="1" w:lastRow="0" w:firstColumn="1" w:lastColumn="0" w:noHBand="0" w:noVBand="1"/>
      </w:tblPr>
      <w:tblGrid>
        <w:gridCol w:w="1516"/>
        <w:gridCol w:w="2471"/>
        <w:gridCol w:w="4887"/>
      </w:tblGrid>
      <w:tr w:rsidR="000A68EF" w:rsidRPr="008B2EBF" w14:paraId="7EADBE9B" w14:textId="77777777" w:rsidTr="00F37E52">
        <w:trPr>
          <w:trHeight w:val="402"/>
        </w:trPr>
        <w:tc>
          <w:tcPr>
            <w:tcW w:w="8874" w:type="dxa"/>
            <w:gridSpan w:val="3"/>
            <w:shd w:val="clear" w:color="auto" w:fill="D9D9D9" w:themeFill="background1" w:themeFillShade="D9"/>
          </w:tcPr>
          <w:p w14:paraId="000FF16E" w14:textId="77777777" w:rsidR="000A68EF" w:rsidRDefault="000A68EF" w:rsidP="00492BC1">
            <w:pPr>
              <w:spacing w:before="60" w:after="60"/>
              <w:jc w:val="center"/>
              <w:rPr>
                <w:b/>
              </w:rPr>
            </w:pPr>
            <w:r>
              <w:rPr>
                <w:b/>
              </w:rPr>
              <w:lastRenderedPageBreak/>
              <w:t>Command: KILL</w:t>
            </w:r>
          </w:p>
        </w:tc>
      </w:tr>
      <w:tr w:rsidR="000A68EF" w:rsidRPr="00A70299" w14:paraId="4D8A4DD4" w14:textId="77777777" w:rsidTr="00F37E52">
        <w:trPr>
          <w:trHeight w:val="402"/>
        </w:trPr>
        <w:tc>
          <w:tcPr>
            <w:tcW w:w="1516" w:type="dxa"/>
            <w:shd w:val="clear" w:color="auto" w:fill="D9D9D9" w:themeFill="background1" w:themeFillShade="D9"/>
          </w:tcPr>
          <w:p w14:paraId="6A76429C" w14:textId="77777777" w:rsidR="000A68EF" w:rsidRPr="008B2EBF" w:rsidRDefault="000A68EF" w:rsidP="00492BC1">
            <w:pPr>
              <w:spacing w:before="60" w:after="60"/>
              <w:rPr>
                <w:b/>
              </w:rPr>
            </w:pPr>
            <w:r>
              <w:rPr>
                <w:b/>
              </w:rPr>
              <w:t>Offset</w:t>
            </w:r>
          </w:p>
        </w:tc>
        <w:tc>
          <w:tcPr>
            <w:tcW w:w="2471" w:type="dxa"/>
            <w:shd w:val="clear" w:color="auto" w:fill="D9D9D9" w:themeFill="background1" w:themeFillShade="D9"/>
          </w:tcPr>
          <w:p w14:paraId="55E63D5A" w14:textId="77777777" w:rsidR="000A68EF" w:rsidRPr="008B2EBF" w:rsidRDefault="000A68EF" w:rsidP="00492BC1">
            <w:pPr>
              <w:spacing w:before="60" w:after="60"/>
              <w:rPr>
                <w:b/>
              </w:rPr>
            </w:pPr>
            <w:r>
              <w:rPr>
                <w:b/>
              </w:rPr>
              <w:t>Data</w:t>
            </w:r>
          </w:p>
        </w:tc>
        <w:tc>
          <w:tcPr>
            <w:tcW w:w="4887" w:type="dxa"/>
            <w:shd w:val="clear" w:color="auto" w:fill="D9D9D9" w:themeFill="background1" w:themeFillShade="D9"/>
          </w:tcPr>
          <w:p w14:paraId="7CCC87FF" w14:textId="77777777" w:rsidR="000A68EF" w:rsidRDefault="000A68EF" w:rsidP="00492BC1">
            <w:pPr>
              <w:spacing w:before="60" w:after="60"/>
              <w:rPr>
                <w:b/>
              </w:rPr>
            </w:pPr>
            <w:r>
              <w:rPr>
                <w:b/>
              </w:rPr>
              <w:t>Description</w:t>
            </w:r>
          </w:p>
        </w:tc>
      </w:tr>
      <w:tr w:rsidR="000A68EF" w14:paraId="04E47B79" w14:textId="77777777" w:rsidTr="00F37E52">
        <w:trPr>
          <w:trHeight w:val="1002"/>
        </w:trPr>
        <w:tc>
          <w:tcPr>
            <w:tcW w:w="1516" w:type="dxa"/>
          </w:tcPr>
          <w:p w14:paraId="4DD89229" w14:textId="00E19675" w:rsidR="000A68EF" w:rsidRPr="00F62EC0" w:rsidRDefault="008C7CF6" w:rsidP="00492BC1">
            <w:r>
              <w:t>0x004015AE</w:t>
            </w:r>
          </w:p>
        </w:tc>
        <w:tc>
          <w:tcPr>
            <w:tcW w:w="2471" w:type="dxa"/>
          </w:tcPr>
          <w:p w14:paraId="220E95D6" w14:textId="77777777" w:rsidR="008C7CF6" w:rsidRDefault="008C7CF6" w:rsidP="00492BC1">
            <w:pPr>
              <w:rPr>
                <w:rFonts w:ascii="Consolas" w:hAnsi="Consolas"/>
                <w:color w:val="2AA198"/>
                <w:sz w:val="21"/>
                <w:szCs w:val="21"/>
                <w:shd w:val="clear" w:color="auto" w:fill="2F3136"/>
              </w:rPr>
            </w:pPr>
            <w:r>
              <w:rPr>
                <w:rFonts w:ascii="Consolas" w:hAnsi="Consolas"/>
                <w:color w:val="2AA198"/>
                <w:sz w:val="21"/>
                <w:szCs w:val="21"/>
                <w:shd w:val="clear" w:color="auto" w:fill="2F3136"/>
              </w:rPr>
              <w:t>0x4b494c4c</w:t>
            </w:r>
          </w:p>
          <w:p w14:paraId="086C0810" w14:textId="30254D2D" w:rsidR="008C7CF6" w:rsidRPr="008C7CF6" w:rsidRDefault="008C7CF6" w:rsidP="00492BC1">
            <w:pPr>
              <w:rPr>
                <w:rFonts w:asciiTheme="minorHAnsi" w:hAnsiTheme="minorHAnsi" w:cstheme="minorHAnsi"/>
              </w:rPr>
            </w:pPr>
            <w:r>
              <w:rPr>
                <w:rFonts w:asciiTheme="minorHAnsi" w:hAnsiTheme="minorHAnsi" w:cstheme="minorHAnsi"/>
              </w:rPr>
              <w:t>Kill in little endian</w:t>
            </w:r>
          </w:p>
        </w:tc>
        <w:tc>
          <w:tcPr>
            <w:tcW w:w="4887" w:type="dxa"/>
          </w:tcPr>
          <w:p w14:paraId="337E0722" w14:textId="18D9ABA3" w:rsidR="000A68EF" w:rsidRDefault="00A56DD6" w:rsidP="00492BC1">
            <w:r>
              <w:t>KILL means to kill (end) a process forcibly</w:t>
            </w:r>
          </w:p>
        </w:tc>
      </w:tr>
      <w:tr w:rsidR="000A68EF" w14:paraId="4B69E137" w14:textId="77777777" w:rsidTr="00F37E52">
        <w:trPr>
          <w:trHeight w:val="1002"/>
        </w:trPr>
        <w:tc>
          <w:tcPr>
            <w:tcW w:w="1516" w:type="dxa"/>
          </w:tcPr>
          <w:p w14:paraId="4C617572" w14:textId="78AE9DB1" w:rsidR="000A68EF" w:rsidRPr="00F62EC0" w:rsidRDefault="00F37E52" w:rsidP="00492BC1">
            <w:r>
              <w:t>0x00401775</w:t>
            </w:r>
          </w:p>
        </w:tc>
        <w:tc>
          <w:tcPr>
            <w:tcW w:w="2471" w:type="dxa"/>
          </w:tcPr>
          <w:p w14:paraId="57DC1D69" w14:textId="1A171AF3" w:rsidR="00F37E52" w:rsidRDefault="00F37E52" w:rsidP="00492BC1">
            <w:r>
              <w:t xml:space="preserve">byte </w:t>
            </w:r>
            <w:r w:rsidR="00D011D3">
              <w:t>local_b09</w:t>
            </w:r>
          </w:p>
          <w:p w14:paraId="51E381DC" w14:textId="08A5B34C" w:rsidR="000A68EF" w:rsidRPr="00F62EC0" w:rsidRDefault="00F37E52" w:rsidP="00492BC1">
            <w:r>
              <w:t>Unsigned Byte</w:t>
            </w:r>
          </w:p>
        </w:tc>
        <w:tc>
          <w:tcPr>
            <w:tcW w:w="4887" w:type="dxa"/>
          </w:tcPr>
          <w:p w14:paraId="1FF9C0E5" w14:textId="3020ABB8" w:rsidR="00D011D3" w:rsidRDefault="00D011D3" w:rsidP="00492BC1">
            <w:r>
              <w:t xml:space="preserve">It is a variable that is an unsigned byte, which if it did not get set to 1 then it accesses a internet connection, ie. It downloads something </w:t>
            </w:r>
          </w:p>
        </w:tc>
      </w:tr>
      <w:tr w:rsidR="000A68EF" w14:paraId="100F32E5" w14:textId="77777777" w:rsidTr="00F37E52">
        <w:trPr>
          <w:trHeight w:val="1002"/>
        </w:trPr>
        <w:tc>
          <w:tcPr>
            <w:tcW w:w="1516" w:type="dxa"/>
          </w:tcPr>
          <w:p w14:paraId="37F1D485" w14:textId="745AA736" w:rsidR="000A68EF" w:rsidRPr="00F62EC0" w:rsidRDefault="008D2E1E" w:rsidP="00492BC1">
            <w:r>
              <w:t>0x004015AE</w:t>
            </w:r>
          </w:p>
        </w:tc>
        <w:tc>
          <w:tcPr>
            <w:tcW w:w="2471" w:type="dxa"/>
          </w:tcPr>
          <w:p w14:paraId="731136F8" w14:textId="485C857B" w:rsidR="000A68EF" w:rsidRDefault="0085342B" w:rsidP="00492BC1">
            <w:r>
              <w:t>uint local_608</w:t>
            </w:r>
          </w:p>
          <w:p w14:paraId="5372CE7A" w14:textId="50D0F68B" w:rsidR="008D2E1E" w:rsidRPr="00F62EC0" w:rsidRDefault="008D2E1E" w:rsidP="00492BC1">
            <w:r>
              <w:t>Unsigned Int</w:t>
            </w:r>
          </w:p>
        </w:tc>
        <w:tc>
          <w:tcPr>
            <w:tcW w:w="4887" w:type="dxa"/>
          </w:tcPr>
          <w:p w14:paraId="76680831" w14:textId="1ECA0851" w:rsidR="000A68EF" w:rsidRDefault="00935EA6" w:rsidP="00492BC1">
            <w:r>
              <w:t xml:space="preserve">A variable that is an unsigned integer, </w:t>
            </w:r>
            <w:r w:rsidR="00683268">
              <w:t xml:space="preserve">it is used to check against KILL to set local_b09 to 1, it is used later to check against </w:t>
            </w:r>
            <w:r w:rsidR="00A05D63">
              <w:t>DWLD to set variable local_b14 equal to variable local_604</w:t>
            </w:r>
          </w:p>
        </w:tc>
      </w:tr>
    </w:tbl>
    <w:p w14:paraId="0D67B62C" w14:textId="5FC132FF" w:rsidR="002064CD" w:rsidRDefault="002064CD" w:rsidP="003F2BF5">
      <w:pPr>
        <w:ind w:left="720"/>
      </w:pPr>
    </w:p>
    <w:p w14:paraId="11CE553A" w14:textId="77777777" w:rsidR="002064CD" w:rsidRDefault="002064CD">
      <w:pPr>
        <w:spacing w:line="240" w:lineRule="auto"/>
      </w:pPr>
      <w:r>
        <w:br w:type="page"/>
      </w:r>
    </w:p>
    <w:p w14:paraId="48116E4C" w14:textId="77777777" w:rsidR="000A68EF" w:rsidRDefault="000A68EF" w:rsidP="003F2BF5">
      <w:pPr>
        <w:ind w:left="720"/>
      </w:pPr>
    </w:p>
    <w:tbl>
      <w:tblPr>
        <w:tblStyle w:val="TableGrid"/>
        <w:tblW w:w="0" w:type="auto"/>
        <w:tblInd w:w="715" w:type="dxa"/>
        <w:tblLook w:val="04A0" w:firstRow="1" w:lastRow="0" w:firstColumn="1" w:lastColumn="0" w:noHBand="0" w:noVBand="1"/>
      </w:tblPr>
      <w:tblGrid>
        <w:gridCol w:w="1476"/>
        <w:gridCol w:w="2412"/>
        <w:gridCol w:w="4747"/>
      </w:tblGrid>
      <w:tr w:rsidR="000A68EF" w:rsidRPr="008B2EBF" w14:paraId="331102E1" w14:textId="77777777" w:rsidTr="003F2BF5">
        <w:tc>
          <w:tcPr>
            <w:tcW w:w="8635" w:type="dxa"/>
            <w:gridSpan w:val="3"/>
            <w:shd w:val="clear" w:color="auto" w:fill="D9D9D9" w:themeFill="background1" w:themeFillShade="D9"/>
          </w:tcPr>
          <w:p w14:paraId="5EC47D8A" w14:textId="77777777" w:rsidR="000A68EF" w:rsidRDefault="000A68EF" w:rsidP="00492BC1">
            <w:pPr>
              <w:spacing w:before="60" w:after="60"/>
              <w:jc w:val="center"/>
              <w:rPr>
                <w:b/>
              </w:rPr>
            </w:pPr>
            <w:r>
              <w:rPr>
                <w:b/>
              </w:rPr>
              <w:t>Command: DWLD</w:t>
            </w:r>
          </w:p>
        </w:tc>
      </w:tr>
      <w:tr w:rsidR="000A68EF" w:rsidRPr="00A70299" w14:paraId="45E64A2C" w14:textId="77777777" w:rsidTr="003F2BF5">
        <w:tc>
          <w:tcPr>
            <w:tcW w:w="990" w:type="dxa"/>
            <w:shd w:val="clear" w:color="auto" w:fill="D9D9D9" w:themeFill="background1" w:themeFillShade="D9"/>
          </w:tcPr>
          <w:p w14:paraId="2EA85339" w14:textId="77777777" w:rsidR="000A68EF" w:rsidRPr="008B2EBF" w:rsidRDefault="000A68EF" w:rsidP="00492BC1">
            <w:pPr>
              <w:spacing w:before="60" w:after="60"/>
              <w:rPr>
                <w:b/>
              </w:rPr>
            </w:pPr>
            <w:r>
              <w:rPr>
                <w:b/>
              </w:rPr>
              <w:t>Offset</w:t>
            </w:r>
          </w:p>
        </w:tc>
        <w:tc>
          <w:tcPr>
            <w:tcW w:w="2520" w:type="dxa"/>
            <w:shd w:val="clear" w:color="auto" w:fill="D9D9D9" w:themeFill="background1" w:themeFillShade="D9"/>
          </w:tcPr>
          <w:p w14:paraId="0A8D7140" w14:textId="77777777" w:rsidR="000A68EF" w:rsidRPr="008B2EBF" w:rsidRDefault="000A68EF" w:rsidP="00492BC1">
            <w:pPr>
              <w:spacing w:before="60" w:after="60"/>
              <w:rPr>
                <w:b/>
              </w:rPr>
            </w:pPr>
            <w:r>
              <w:rPr>
                <w:b/>
              </w:rPr>
              <w:t>Data</w:t>
            </w:r>
          </w:p>
        </w:tc>
        <w:tc>
          <w:tcPr>
            <w:tcW w:w="5125" w:type="dxa"/>
            <w:shd w:val="clear" w:color="auto" w:fill="D9D9D9" w:themeFill="background1" w:themeFillShade="D9"/>
          </w:tcPr>
          <w:p w14:paraId="6F3E58EC" w14:textId="77777777" w:rsidR="000A68EF" w:rsidRDefault="000A68EF" w:rsidP="00492BC1">
            <w:pPr>
              <w:spacing w:before="60" w:after="60"/>
              <w:rPr>
                <w:b/>
              </w:rPr>
            </w:pPr>
            <w:r>
              <w:rPr>
                <w:b/>
              </w:rPr>
              <w:t>Description</w:t>
            </w:r>
          </w:p>
        </w:tc>
      </w:tr>
      <w:tr w:rsidR="000A68EF" w14:paraId="09E89330" w14:textId="77777777" w:rsidTr="004207ED">
        <w:trPr>
          <w:trHeight w:val="1030"/>
        </w:trPr>
        <w:tc>
          <w:tcPr>
            <w:tcW w:w="990" w:type="dxa"/>
          </w:tcPr>
          <w:p w14:paraId="2EB85E51" w14:textId="2F438E42" w:rsidR="000A68EF" w:rsidRPr="00F62EC0" w:rsidRDefault="00F36D50" w:rsidP="00492BC1">
            <w:r>
              <w:t>0x004015BE</w:t>
            </w:r>
          </w:p>
        </w:tc>
        <w:tc>
          <w:tcPr>
            <w:tcW w:w="2520" w:type="dxa"/>
          </w:tcPr>
          <w:p w14:paraId="6BF589B1" w14:textId="77777777" w:rsidR="000A68EF" w:rsidRDefault="00414671" w:rsidP="00492BC1">
            <w:r>
              <w:t>0x444C5744</w:t>
            </w:r>
          </w:p>
          <w:p w14:paraId="72070537" w14:textId="70547AF5" w:rsidR="00414671" w:rsidRPr="00F62EC0" w:rsidRDefault="00414671" w:rsidP="00492BC1">
            <w:r>
              <w:t>DWLD in little endian</w:t>
            </w:r>
          </w:p>
        </w:tc>
        <w:tc>
          <w:tcPr>
            <w:tcW w:w="5125" w:type="dxa"/>
          </w:tcPr>
          <w:p w14:paraId="12600D3D" w14:textId="391A27AD" w:rsidR="000A68EF" w:rsidRDefault="00DE325D" w:rsidP="00492BC1">
            <w:r>
              <w:t>DWLD means, download (as best I can tell)</w:t>
            </w:r>
          </w:p>
        </w:tc>
      </w:tr>
      <w:tr w:rsidR="000A68EF" w14:paraId="58A09351" w14:textId="77777777" w:rsidTr="004207ED">
        <w:trPr>
          <w:trHeight w:val="1030"/>
        </w:trPr>
        <w:tc>
          <w:tcPr>
            <w:tcW w:w="990" w:type="dxa"/>
          </w:tcPr>
          <w:p w14:paraId="3A634A7E" w14:textId="55053064" w:rsidR="000A68EF" w:rsidRPr="00F62EC0" w:rsidRDefault="00F36D50" w:rsidP="00492BC1">
            <w:r>
              <w:t>0x004015BE</w:t>
            </w:r>
          </w:p>
        </w:tc>
        <w:tc>
          <w:tcPr>
            <w:tcW w:w="2520" w:type="dxa"/>
          </w:tcPr>
          <w:p w14:paraId="348B2133" w14:textId="77777777" w:rsidR="000A68EF" w:rsidRDefault="009E6203" w:rsidP="00492BC1">
            <w:r>
              <w:t>uint local_608</w:t>
            </w:r>
          </w:p>
          <w:p w14:paraId="0E2D8424" w14:textId="1DBC201C" w:rsidR="009E6203" w:rsidRPr="00F62EC0" w:rsidRDefault="009E6203" w:rsidP="00492BC1">
            <w:r>
              <w:t>unsigned int</w:t>
            </w:r>
          </w:p>
        </w:tc>
        <w:tc>
          <w:tcPr>
            <w:tcW w:w="5125" w:type="dxa"/>
          </w:tcPr>
          <w:p w14:paraId="03330DAF" w14:textId="1B5D544D" w:rsidR="000A68EF" w:rsidRDefault="009E6203" w:rsidP="00492BC1">
            <w:r>
              <w:t xml:space="preserve">In this line it is checked against DWLD and if it is it sets </w:t>
            </w:r>
            <w:r w:rsidR="00CA04EF">
              <w:t>variable local_b14 to be equal to local_604</w:t>
            </w:r>
          </w:p>
        </w:tc>
      </w:tr>
      <w:tr w:rsidR="000A68EF" w14:paraId="63C9C492" w14:textId="77777777" w:rsidTr="004207ED">
        <w:trPr>
          <w:trHeight w:val="1030"/>
        </w:trPr>
        <w:tc>
          <w:tcPr>
            <w:tcW w:w="990" w:type="dxa"/>
          </w:tcPr>
          <w:p w14:paraId="234072BB" w14:textId="54C091D4" w:rsidR="000A68EF" w:rsidRPr="00F62EC0" w:rsidRDefault="00F36D50" w:rsidP="00492BC1">
            <w:r>
              <w:t>0x0040166C</w:t>
            </w:r>
          </w:p>
        </w:tc>
        <w:tc>
          <w:tcPr>
            <w:tcW w:w="2520" w:type="dxa"/>
          </w:tcPr>
          <w:p w14:paraId="693A3A21" w14:textId="77777777" w:rsidR="000A68EF" w:rsidRDefault="00335C8D" w:rsidP="00492BC1">
            <w:r>
              <w:t>DWORD</w:t>
            </w:r>
            <w:r w:rsidR="00BD1003">
              <w:t xml:space="preserve"> </w:t>
            </w:r>
            <w:r w:rsidR="00BA07D1">
              <w:t>local_b14</w:t>
            </w:r>
          </w:p>
          <w:p w14:paraId="7A7E346A" w14:textId="10F03C47" w:rsidR="00335C8D" w:rsidRPr="00F62EC0" w:rsidRDefault="00335C8D" w:rsidP="00492BC1">
            <w:r>
              <w:t>Long unsigned int</w:t>
            </w:r>
          </w:p>
        </w:tc>
        <w:tc>
          <w:tcPr>
            <w:tcW w:w="5125" w:type="dxa"/>
          </w:tcPr>
          <w:p w14:paraId="56ADC775" w14:textId="4C077958" w:rsidR="000A68EF" w:rsidRDefault="00DB6216" w:rsidP="00492BC1">
            <w:r>
              <w:t xml:space="preserve">Assigning this variable to be equal to that </w:t>
            </w:r>
            <w:r w:rsidR="00FF16CE">
              <w:t>of local_604</w:t>
            </w:r>
          </w:p>
        </w:tc>
      </w:tr>
      <w:tr w:rsidR="000A68EF" w14:paraId="5A7E07EE" w14:textId="77777777" w:rsidTr="004207ED">
        <w:trPr>
          <w:trHeight w:val="1030"/>
        </w:trPr>
        <w:tc>
          <w:tcPr>
            <w:tcW w:w="990" w:type="dxa"/>
          </w:tcPr>
          <w:p w14:paraId="4E86F28D" w14:textId="61F60C60" w:rsidR="000A68EF" w:rsidRPr="00F62EC0" w:rsidRDefault="006F1C1C" w:rsidP="00492BC1">
            <w:r>
              <w:t>0x0040166C</w:t>
            </w:r>
          </w:p>
        </w:tc>
        <w:tc>
          <w:tcPr>
            <w:tcW w:w="2520" w:type="dxa"/>
          </w:tcPr>
          <w:p w14:paraId="096BC6B2" w14:textId="77777777" w:rsidR="000A68EF" w:rsidRDefault="00335C8D" w:rsidP="00492BC1">
            <w:r>
              <w:t>DWORD</w:t>
            </w:r>
            <w:r w:rsidR="00BA07D1">
              <w:t xml:space="preserve"> local_604</w:t>
            </w:r>
          </w:p>
          <w:p w14:paraId="2A13D913" w14:textId="2CF8CFCC" w:rsidR="00CD5F8E" w:rsidRPr="00F62EC0" w:rsidRDefault="00CD5F8E" w:rsidP="00492BC1">
            <w:r>
              <w:t>Long unsigned int</w:t>
            </w:r>
          </w:p>
        </w:tc>
        <w:tc>
          <w:tcPr>
            <w:tcW w:w="5125" w:type="dxa"/>
          </w:tcPr>
          <w:p w14:paraId="567B7D2D" w14:textId="77AD290F" w:rsidR="000A68EF" w:rsidRDefault="00666679" w:rsidP="00492BC1">
            <w:r>
              <w:t>Being used to assign to variable local_b14</w:t>
            </w:r>
          </w:p>
        </w:tc>
      </w:tr>
    </w:tbl>
    <w:p w14:paraId="08113FCB" w14:textId="32B89326" w:rsidR="002064CD" w:rsidRDefault="002064CD" w:rsidP="003F2BF5"/>
    <w:p w14:paraId="6DF1F377" w14:textId="77777777" w:rsidR="002064CD" w:rsidRDefault="002064CD">
      <w:pPr>
        <w:spacing w:line="240" w:lineRule="auto"/>
      </w:pPr>
      <w:r>
        <w:br w:type="page"/>
      </w:r>
    </w:p>
    <w:p w14:paraId="5D697BA0" w14:textId="77777777" w:rsidR="000A68EF" w:rsidRDefault="000A68EF" w:rsidP="003F2BF5"/>
    <w:tbl>
      <w:tblPr>
        <w:tblStyle w:val="TableGrid"/>
        <w:tblW w:w="0" w:type="auto"/>
        <w:tblInd w:w="715" w:type="dxa"/>
        <w:tblLook w:val="04A0" w:firstRow="1" w:lastRow="0" w:firstColumn="1" w:lastColumn="0" w:noHBand="0" w:noVBand="1"/>
      </w:tblPr>
      <w:tblGrid>
        <w:gridCol w:w="1489"/>
        <w:gridCol w:w="2406"/>
        <w:gridCol w:w="4740"/>
      </w:tblGrid>
      <w:tr w:rsidR="000A68EF" w:rsidRPr="008B2EBF" w14:paraId="71D75CD8" w14:textId="77777777" w:rsidTr="003F2BF5">
        <w:tc>
          <w:tcPr>
            <w:tcW w:w="8635" w:type="dxa"/>
            <w:gridSpan w:val="3"/>
            <w:shd w:val="clear" w:color="auto" w:fill="D9D9D9" w:themeFill="background1" w:themeFillShade="D9"/>
          </w:tcPr>
          <w:p w14:paraId="18C8FE7A" w14:textId="77777777" w:rsidR="000A68EF" w:rsidRDefault="000A68EF" w:rsidP="00492BC1">
            <w:pPr>
              <w:spacing w:before="60" w:after="60"/>
              <w:jc w:val="center"/>
              <w:rPr>
                <w:b/>
              </w:rPr>
            </w:pPr>
            <w:r>
              <w:rPr>
                <w:b/>
              </w:rPr>
              <w:t>Command: EXEC</w:t>
            </w:r>
          </w:p>
        </w:tc>
      </w:tr>
      <w:tr w:rsidR="000A68EF" w:rsidRPr="00A70299" w14:paraId="33231837" w14:textId="77777777" w:rsidTr="003F2BF5">
        <w:tc>
          <w:tcPr>
            <w:tcW w:w="990" w:type="dxa"/>
            <w:shd w:val="clear" w:color="auto" w:fill="D9D9D9" w:themeFill="background1" w:themeFillShade="D9"/>
          </w:tcPr>
          <w:p w14:paraId="6E11B218" w14:textId="77777777" w:rsidR="000A68EF" w:rsidRPr="008B2EBF" w:rsidRDefault="000A68EF" w:rsidP="00492BC1">
            <w:pPr>
              <w:spacing w:before="60" w:after="60"/>
              <w:rPr>
                <w:b/>
              </w:rPr>
            </w:pPr>
            <w:r>
              <w:rPr>
                <w:b/>
              </w:rPr>
              <w:t>Offset</w:t>
            </w:r>
          </w:p>
        </w:tc>
        <w:tc>
          <w:tcPr>
            <w:tcW w:w="2520" w:type="dxa"/>
            <w:shd w:val="clear" w:color="auto" w:fill="D9D9D9" w:themeFill="background1" w:themeFillShade="D9"/>
          </w:tcPr>
          <w:p w14:paraId="37EA24A7" w14:textId="77777777" w:rsidR="000A68EF" w:rsidRPr="008B2EBF" w:rsidRDefault="000A68EF" w:rsidP="00492BC1">
            <w:pPr>
              <w:spacing w:before="60" w:after="60"/>
              <w:rPr>
                <w:b/>
              </w:rPr>
            </w:pPr>
            <w:r>
              <w:rPr>
                <w:b/>
              </w:rPr>
              <w:t>Data</w:t>
            </w:r>
          </w:p>
        </w:tc>
        <w:tc>
          <w:tcPr>
            <w:tcW w:w="5125" w:type="dxa"/>
            <w:shd w:val="clear" w:color="auto" w:fill="D9D9D9" w:themeFill="background1" w:themeFillShade="D9"/>
          </w:tcPr>
          <w:p w14:paraId="2C8CDDBB" w14:textId="77777777" w:rsidR="000A68EF" w:rsidRDefault="000A68EF" w:rsidP="00492BC1">
            <w:pPr>
              <w:spacing w:before="60" w:after="60"/>
              <w:rPr>
                <w:b/>
              </w:rPr>
            </w:pPr>
            <w:r>
              <w:rPr>
                <w:b/>
              </w:rPr>
              <w:t>Description</w:t>
            </w:r>
          </w:p>
        </w:tc>
      </w:tr>
      <w:tr w:rsidR="000A68EF" w14:paraId="585655CC" w14:textId="77777777" w:rsidTr="004207ED">
        <w:trPr>
          <w:trHeight w:val="1044"/>
        </w:trPr>
        <w:tc>
          <w:tcPr>
            <w:tcW w:w="990" w:type="dxa"/>
          </w:tcPr>
          <w:p w14:paraId="6464C22E" w14:textId="32E6918A" w:rsidR="000A68EF" w:rsidRPr="00F62EC0" w:rsidRDefault="009770D3" w:rsidP="00492BC1">
            <w:r>
              <w:t>0x004015CE</w:t>
            </w:r>
          </w:p>
        </w:tc>
        <w:tc>
          <w:tcPr>
            <w:tcW w:w="2520" w:type="dxa"/>
          </w:tcPr>
          <w:p w14:paraId="4C65EB2D" w14:textId="41B61154" w:rsidR="000A68EF" w:rsidRDefault="003536CB" w:rsidP="00492BC1">
            <w:r>
              <w:t>0x4</w:t>
            </w:r>
            <w:r w:rsidR="00D4731B">
              <w:t>34</w:t>
            </w:r>
            <w:r w:rsidR="002461C0">
              <w:t>55845</w:t>
            </w:r>
          </w:p>
          <w:p w14:paraId="087A5480" w14:textId="1B3CF568" w:rsidR="003536CB" w:rsidRPr="00F62EC0" w:rsidRDefault="003536CB" w:rsidP="00492BC1">
            <w:r>
              <w:t>EXEC in little endian</w:t>
            </w:r>
          </w:p>
        </w:tc>
        <w:tc>
          <w:tcPr>
            <w:tcW w:w="5125" w:type="dxa"/>
          </w:tcPr>
          <w:p w14:paraId="58087AA8" w14:textId="61ECD9E3" w:rsidR="000A68EF" w:rsidRDefault="00FD59F5" w:rsidP="00492BC1">
            <w:r>
              <w:t>EXEC is a command that spawns another process</w:t>
            </w:r>
          </w:p>
        </w:tc>
      </w:tr>
      <w:tr w:rsidR="000A68EF" w14:paraId="60322EA1" w14:textId="77777777" w:rsidTr="004207ED">
        <w:trPr>
          <w:trHeight w:val="1044"/>
        </w:trPr>
        <w:tc>
          <w:tcPr>
            <w:tcW w:w="990" w:type="dxa"/>
          </w:tcPr>
          <w:p w14:paraId="032659FD" w14:textId="75FFFC0F" w:rsidR="000A68EF" w:rsidRPr="00F62EC0" w:rsidRDefault="009770D3" w:rsidP="00492BC1">
            <w:r>
              <w:t>0x004015CE</w:t>
            </w:r>
          </w:p>
        </w:tc>
        <w:tc>
          <w:tcPr>
            <w:tcW w:w="2520" w:type="dxa"/>
          </w:tcPr>
          <w:p w14:paraId="15ABFC7C" w14:textId="13ED6CAD" w:rsidR="000A68EF" w:rsidRDefault="00FE539F" w:rsidP="00492BC1">
            <w:r>
              <w:t>uint l</w:t>
            </w:r>
            <w:r w:rsidR="0026721D">
              <w:t>ocal_608</w:t>
            </w:r>
          </w:p>
          <w:p w14:paraId="71570172" w14:textId="1AB774C9" w:rsidR="0026721D" w:rsidRPr="00F62EC0" w:rsidRDefault="0026721D" w:rsidP="00492BC1">
            <w:r>
              <w:t>Unsigned int</w:t>
            </w:r>
          </w:p>
        </w:tc>
        <w:tc>
          <w:tcPr>
            <w:tcW w:w="5125" w:type="dxa"/>
          </w:tcPr>
          <w:p w14:paraId="31DF57A5" w14:textId="43A78FE7" w:rsidR="000A68EF" w:rsidRDefault="00762B81" w:rsidP="00492BC1">
            <w:r>
              <w:t>Compared against EXEC</w:t>
            </w:r>
          </w:p>
        </w:tc>
      </w:tr>
      <w:tr w:rsidR="000A68EF" w14:paraId="49DD57A1" w14:textId="77777777" w:rsidTr="004207ED">
        <w:trPr>
          <w:trHeight w:val="1044"/>
        </w:trPr>
        <w:tc>
          <w:tcPr>
            <w:tcW w:w="990" w:type="dxa"/>
          </w:tcPr>
          <w:p w14:paraId="0033C097" w14:textId="4449F9B3" w:rsidR="000A68EF" w:rsidRPr="00F62EC0" w:rsidRDefault="009770D3" w:rsidP="00492BC1">
            <w:r>
              <w:t>0x00401</w:t>
            </w:r>
            <w:r w:rsidR="00C83984">
              <w:t>5FA</w:t>
            </w:r>
          </w:p>
        </w:tc>
        <w:tc>
          <w:tcPr>
            <w:tcW w:w="2520" w:type="dxa"/>
          </w:tcPr>
          <w:p w14:paraId="18D6D79C" w14:textId="172760E7" w:rsidR="000A68EF" w:rsidRDefault="00553F88" w:rsidP="00492BC1">
            <w:r>
              <w:t>size_t</w:t>
            </w:r>
            <w:r w:rsidR="00FE539F">
              <w:t xml:space="preserve"> l</w:t>
            </w:r>
            <w:r w:rsidR="0026721D">
              <w:t>ocal_b10</w:t>
            </w:r>
          </w:p>
          <w:p w14:paraId="5C701C1F" w14:textId="5CAE554E" w:rsidR="0026721D" w:rsidRPr="00F62EC0" w:rsidRDefault="0026721D" w:rsidP="00492BC1">
            <w:r>
              <w:t>Unsigned int</w:t>
            </w:r>
          </w:p>
        </w:tc>
        <w:tc>
          <w:tcPr>
            <w:tcW w:w="5125" w:type="dxa"/>
          </w:tcPr>
          <w:p w14:paraId="53F3C51A" w14:textId="6C0848F9" w:rsidR="000A68EF" w:rsidRDefault="00AE3E92" w:rsidP="00492BC1">
            <w:r>
              <w:t>This variable is set to be equal to the value of the variable local_604</w:t>
            </w:r>
          </w:p>
        </w:tc>
      </w:tr>
      <w:tr w:rsidR="000A68EF" w14:paraId="31E8D286" w14:textId="77777777" w:rsidTr="004207ED">
        <w:trPr>
          <w:trHeight w:val="1044"/>
        </w:trPr>
        <w:tc>
          <w:tcPr>
            <w:tcW w:w="990" w:type="dxa"/>
          </w:tcPr>
          <w:p w14:paraId="17F8816C" w14:textId="5C717660" w:rsidR="000A68EF" w:rsidRPr="00F62EC0" w:rsidRDefault="00C83984" w:rsidP="00492BC1">
            <w:r>
              <w:t>0x004015FA</w:t>
            </w:r>
          </w:p>
        </w:tc>
        <w:tc>
          <w:tcPr>
            <w:tcW w:w="2520" w:type="dxa"/>
          </w:tcPr>
          <w:p w14:paraId="0F8B8E33" w14:textId="0889E79E" w:rsidR="000A68EF" w:rsidRDefault="00240271" w:rsidP="00492BC1">
            <w:r>
              <w:t xml:space="preserve">DWORD </w:t>
            </w:r>
            <w:r w:rsidR="009E1E9A">
              <w:t>l</w:t>
            </w:r>
            <w:r w:rsidR="0026721D">
              <w:t>ocal_604</w:t>
            </w:r>
          </w:p>
          <w:p w14:paraId="3389BE83" w14:textId="7EC2025F" w:rsidR="0026721D" w:rsidRPr="00F62EC0" w:rsidRDefault="00874018" w:rsidP="00492BC1">
            <w:r>
              <w:t>Int</w:t>
            </w:r>
          </w:p>
        </w:tc>
        <w:tc>
          <w:tcPr>
            <w:tcW w:w="5125" w:type="dxa"/>
          </w:tcPr>
          <w:p w14:paraId="465E7CDC" w14:textId="65AA78D3" w:rsidR="000A68EF" w:rsidRDefault="00AE3E92" w:rsidP="00492BC1">
            <w:r>
              <w:t xml:space="preserve">This variable </w:t>
            </w:r>
            <w:r w:rsidR="00426B81">
              <w:t>is used to set its value into the variable in local_b10</w:t>
            </w:r>
          </w:p>
        </w:tc>
      </w:tr>
    </w:tbl>
    <w:p w14:paraId="4BE126E9" w14:textId="77777777" w:rsidR="000A68EF" w:rsidRDefault="000A68EF" w:rsidP="000A68EF"/>
    <w:p w14:paraId="12AF5133" w14:textId="77777777" w:rsidR="005013FA" w:rsidRPr="00304EC0" w:rsidRDefault="005013FA">
      <w:pPr>
        <w:spacing w:line="240" w:lineRule="auto"/>
      </w:pPr>
    </w:p>
    <w:p w14:paraId="146F2329" w14:textId="6F5DBA77" w:rsidR="007744FB" w:rsidRDefault="007744FB" w:rsidP="007744FB">
      <w:pPr>
        <w:pStyle w:val="HeadingStyle1"/>
      </w:pPr>
      <w:bookmarkStart w:id="6" w:name="_Toc22024176"/>
      <w:r>
        <w:t>References</w:t>
      </w:r>
      <w:bookmarkEnd w:id="6"/>
    </w:p>
    <w:p w14:paraId="5D14CEB2" w14:textId="31BB8F87" w:rsidR="00512D26" w:rsidRDefault="002D6462" w:rsidP="007744FB">
      <w:pPr>
        <w:ind w:left="720" w:hanging="720"/>
      </w:pPr>
      <w:r>
        <w:t>Ghidra</w:t>
      </w:r>
      <w:r w:rsidR="003456F3" w:rsidRPr="003456F3">
        <w:t>. (201</w:t>
      </w:r>
      <w:r>
        <w:t>9</w:t>
      </w:r>
      <w:r w:rsidR="003456F3" w:rsidRPr="003456F3">
        <w:t>).</w:t>
      </w:r>
      <w:r>
        <w:t xml:space="preserve"> National Security Agency</w:t>
      </w:r>
      <w:r w:rsidR="003456F3" w:rsidRPr="003456F3">
        <w:t xml:space="preserve">. [Computer software].Retrieved from </w:t>
      </w:r>
      <w:hyperlink r:id="rId15" w:history="1">
        <w:r w:rsidRPr="006F2883">
          <w:rPr>
            <w:rStyle w:val="Hyperlink"/>
          </w:rPr>
          <w:t>https://ghidra-sre.org</w:t>
        </w:r>
      </w:hyperlink>
    </w:p>
    <w:p w14:paraId="32156C2E" w14:textId="77777777" w:rsidR="007744FB" w:rsidRDefault="007744FB" w:rsidP="00E026F5">
      <w:pPr>
        <w:sectPr w:rsidR="007744FB" w:rsidSect="00FA79A5">
          <w:headerReference w:type="default" r:id="rId16"/>
          <w:footerReference w:type="default" r:id="rId17"/>
          <w:headerReference w:type="first" r:id="rId18"/>
          <w:footerReference w:type="first" r:id="rId19"/>
          <w:pgSz w:w="12240" w:h="15840" w:code="1"/>
          <w:pgMar w:top="1530" w:right="1440" w:bottom="1152" w:left="1440" w:header="720" w:footer="720" w:gutter="0"/>
          <w:pgNumType w:start="1"/>
          <w:cols w:space="720"/>
          <w:titlePg/>
          <w:docGrid w:linePitch="360"/>
        </w:sectPr>
      </w:pPr>
    </w:p>
    <w:p w14:paraId="4D177E7F" w14:textId="23AEDED9" w:rsidR="00433B33" w:rsidRPr="001B0A05" w:rsidRDefault="00433B33" w:rsidP="00017FD6"/>
    <w:sectPr w:rsidR="00433B33" w:rsidRPr="001B0A05" w:rsidSect="00512D26">
      <w:headerReference w:type="first" r:id="rId20"/>
      <w:footerReference w:type="first" r:id="rId2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9309" w14:textId="77777777" w:rsidR="00133970" w:rsidRDefault="00133970" w:rsidP="007F2B57">
      <w:r>
        <w:separator/>
      </w:r>
    </w:p>
    <w:p w14:paraId="3831AF3D" w14:textId="77777777" w:rsidR="00133970" w:rsidRDefault="00133970" w:rsidP="007F2B57"/>
    <w:p w14:paraId="651C9172" w14:textId="77777777" w:rsidR="00133970" w:rsidRDefault="00133970" w:rsidP="007F2B57"/>
  </w:endnote>
  <w:endnote w:type="continuationSeparator" w:id="0">
    <w:p w14:paraId="14F5E139" w14:textId="77777777" w:rsidR="00133970" w:rsidRDefault="00133970" w:rsidP="007F2B57">
      <w:r>
        <w:continuationSeparator/>
      </w:r>
    </w:p>
    <w:p w14:paraId="37CDF1D1" w14:textId="77777777" w:rsidR="00133970" w:rsidRDefault="00133970" w:rsidP="007F2B57"/>
    <w:p w14:paraId="72C2BBE9" w14:textId="77777777" w:rsidR="00133970" w:rsidRDefault="00133970"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Arial"/>
    <w:panose1 w:val="00000000000000000000"/>
    <w:charset w:val="00"/>
    <w:family w:val="modern"/>
    <w:notTrueType/>
    <w:pitch w:val="variable"/>
    <w:sig w:usb0="00000007" w:usb1="00000001" w:usb2="00000000" w:usb3="00000000" w:csb0="00000093" w:csb1="00000000"/>
  </w:font>
  <w:font w:name="Liberation Mono">
    <w:altName w:val="Courier New"/>
    <w:charset w:val="01"/>
    <w:family w:val="roman"/>
    <w:pitch w:val="variable"/>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altName w:val="Arial"/>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D9F9" w14:textId="36AE0930" w:rsidR="003B7A1F" w:rsidRPr="0099405D" w:rsidRDefault="003B7A1F" w:rsidP="00CC79F5">
    <w:pPr>
      <w:tabs>
        <w:tab w:val="left" w:pos="1170"/>
        <w:tab w:val="center" w:pos="4680"/>
        <w:tab w:val="right" w:pos="9360"/>
      </w:tabs>
      <w:spacing w:before="60" w:line="240" w:lineRule="auto"/>
      <w:ind w:left="1260" w:hanging="630"/>
      <w:rPr>
        <w:rFonts w:eastAsia="Calibri"/>
        <w:b/>
        <w:bCs/>
        <w:color w:val="000000"/>
        <w:kern w:val="32"/>
        <w:sz w:val="20"/>
        <w:szCs w:val="20"/>
      </w:rPr>
    </w:pPr>
    <w:r w:rsidRPr="0099405D">
      <w:rPr>
        <w:rFonts w:eastAsia="Calibri"/>
        <w:b/>
        <w:bCs/>
        <w:noProof/>
        <w:color w:val="000000"/>
        <w:kern w:val="32"/>
        <w:sz w:val="20"/>
        <w:szCs w:val="20"/>
        <w:lang w:eastAsia="en-CA"/>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DF6E340"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lang w:eastAsia="en-CA"/>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3530810"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sidR="00165811">
      <w:rPr>
        <w:rFonts w:eastAsia="Calibri"/>
        <w:b/>
        <w:bCs/>
        <w:noProof/>
        <w:color w:val="000000"/>
        <w:kern w:val="32"/>
        <w:sz w:val="20"/>
        <w:szCs w:val="20"/>
      </w:rPr>
      <w:t>11</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Pr>
        <w:rFonts w:eastAsia="Calibri"/>
        <w:b/>
        <w:bCs/>
        <w:color w:val="000000"/>
        <w:kern w:val="32"/>
        <w:sz w:val="20"/>
        <w:szCs w:val="20"/>
      </w:rPr>
      <w:t>ICT: Malware Analysis</w:t>
    </w:r>
  </w:p>
  <w:p w14:paraId="6758E91D" w14:textId="54C85AE8" w:rsidR="003B7A1F" w:rsidRPr="0099405D" w:rsidRDefault="003B7A1F" w:rsidP="00CC79F5">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w:t>
    </w:r>
    <w:r w:rsidR="00C52139">
      <w:rPr>
        <w:rFonts w:eastAsia="Calibri"/>
        <w:color w:val="000000"/>
        <w:kern w:val="32"/>
        <w:sz w:val="20"/>
        <w:szCs w:val="32"/>
      </w:rPr>
      <w:t>9</w:t>
    </w:r>
    <w:r w:rsidRPr="0099405D">
      <w:rPr>
        <w:rFonts w:eastAsia="Calibri"/>
        <w:color w:val="000000"/>
        <w:kern w:val="32"/>
        <w:sz w:val="20"/>
        <w:szCs w:val="32"/>
      </w:rPr>
      <w:t>, Southern Alberta Institute of Technology</w:t>
    </w:r>
  </w:p>
  <w:p w14:paraId="58F3FE8F" w14:textId="77777777" w:rsidR="003B7A1F" w:rsidRPr="0099405D" w:rsidRDefault="003B7A1F"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A49F" w14:textId="700CDDD3" w:rsidR="003B7A1F" w:rsidRPr="00E3669A" w:rsidRDefault="003B7A1F"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lang w:eastAsia="en-CA"/>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0B7F2B6"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lang w:eastAsia="en-CA"/>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0238214"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sidR="00165811">
      <w:rPr>
        <w:rFonts w:eastAsia="Calibri"/>
        <w:b/>
        <w:bCs/>
        <w:noProof/>
        <w:color w:val="000000"/>
        <w:kern w:val="32"/>
        <w:sz w:val="20"/>
        <w:szCs w:val="20"/>
      </w:rPr>
      <w:t>1</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Pr>
        <w:rFonts w:eastAsia="Calibri"/>
        <w:b/>
        <w:bCs/>
        <w:color w:val="000000"/>
        <w:kern w:val="32"/>
        <w:sz w:val="20"/>
        <w:szCs w:val="20"/>
      </w:rPr>
      <w:t>ICT: Offensive and Defensive Tool Construction</w:t>
    </w:r>
  </w:p>
  <w:p w14:paraId="4C6E4DE3" w14:textId="77777777" w:rsidR="003B7A1F" w:rsidRPr="00E3669A" w:rsidRDefault="003B7A1F"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686C71C3" w:rsidR="003B7A1F" w:rsidRDefault="003B7A1F" w:rsidP="00017FD6">
    <w:r>
      <w:t>© 2017, Southern Alberta Institute of Technology. All rights reserved.</w:t>
    </w:r>
  </w:p>
  <w:p w14:paraId="6B81DECE" w14:textId="232C2329" w:rsidR="003B7A1F" w:rsidRDefault="003B7A1F" w:rsidP="00017FD6">
    <w:r>
      <w:t>This publication and materials herein are protected by applicable intellectual property laws.</w:t>
    </w:r>
  </w:p>
  <w:p w14:paraId="65B9C7A0" w14:textId="130561B0" w:rsidR="003B7A1F" w:rsidRDefault="003B7A1F" w:rsidP="00017FD6">
    <w:r>
      <w:t>Unauthorized reproduction and distribution of this publication in whole or part is prohibited.</w:t>
    </w:r>
  </w:p>
  <w:p w14:paraId="6F4DB428" w14:textId="77777777" w:rsidR="003B7A1F" w:rsidRDefault="003B7A1F" w:rsidP="00017FD6"/>
  <w:p w14:paraId="508159DB" w14:textId="5B791053" w:rsidR="003B7A1F" w:rsidRDefault="003B7A1F" w:rsidP="00017FD6">
    <w:r>
      <w:t>For more information, contact:</w:t>
    </w:r>
  </w:p>
  <w:p w14:paraId="0D60F3E3" w14:textId="56AB9BBB" w:rsidR="003B7A1F" w:rsidRDefault="003B7A1F" w:rsidP="00017FD6">
    <w:r>
      <w:t>Director, Centre for Instructional Technology and Development</w:t>
    </w:r>
  </w:p>
  <w:p w14:paraId="4E741738" w14:textId="6D12960E" w:rsidR="003B7A1F" w:rsidRDefault="003B7A1F" w:rsidP="00017FD6">
    <w:r>
      <w:t>Southern Alberta Institute of Technology</w:t>
    </w:r>
  </w:p>
  <w:p w14:paraId="10822D5A" w14:textId="73CAE1C3" w:rsidR="003B7A1F" w:rsidRDefault="003B7A1F" w:rsidP="00017FD6">
    <w:r>
      <w:t>1301 16 Ave. N.W., Calgary, AB T2M 0L4</w:t>
    </w:r>
  </w:p>
  <w:p w14:paraId="7D139869" w14:textId="77777777" w:rsidR="003B7A1F" w:rsidRDefault="003B7A1F" w:rsidP="00017FD6"/>
  <w:p w14:paraId="4943EC27" w14:textId="77777777" w:rsidR="003B7A1F" w:rsidRPr="0088153E" w:rsidRDefault="003B7A1F"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34C1" w14:textId="77777777" w:rsidR="00133970" w:rsidRDefault="00133970" w:rsidP="007F2B57">
      <w:r>
        <w:separator/>
      </w:r>
    </w:p>
    <w:p w14:paraId="5DBAAB4D" w14:textId="77777777" w:rsidR="00133970" w:rsidRDefault="00133970" w:rsidP="007F2B57"/>
    <w:p w14:paraId="5D4A84FC" w14:textId="77777777" w:rsidR="00133970" w:rsidRDefault="00133970" w:rsidP="007F2B57"/>
  </w:footnote>
  <w:footnote w:type="continuationSeparator" w:id="0">
    <w:p w14:paraId="3F12D104" w14:textId="77777777" w:rsidR="00133970" w:rsidRDefault="00133970" w:rsidP="007F2B57">
      <w:r>
        <w:continuationSeparator/>
      </w:r>
    </w:p>
    <w:p w14:paraId="4FE95F8B" w14:textId="77777777" w:rsidR="00133970" w:rsidRDefault="00133970" w:rsidP="007F2B57"/>
    <w:p w14:paraId="47033036" w14:textId="77777777" w:rsidR="00133970" w:rsidRDefault="00133970"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3B7A1F" w:rsidRPr="0088153E" w:rsidRDefault="003B7A1F" w:rsidP="0088153E">
    <w:pPr>
      <w:pStyle w:val="Header"/>
    </w:pPr>
    <w:r w:rsidRPr="0088153E">
      <w:rPr>
        <w:noProof/>
        <w:lang w:eastAsia="en-CA"/>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A1F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3B7A1F" w:rsidRPr="00EF5C89" w:rsidRDefault="003B7A1F" w:rsidP="004974D2">
    <w:pPr>
      <w:pStyle w:val="Header"/>
      <w:tabs>
        <w:tab w:val="clear" w:pos="4680"/>
        <w:tab w:val="clear" w:pos="9360"/>
        <w:tab w:val="left" w:pos="2847"/>
      </w:tabs>
    </w:pPr>
    <w:r w:rsidRPr="0088153E">
      <w:rPr>
        <w:noProof/>
        <w:lang w:eastAsia="en-CA"/>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9160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3B7A1F" w:rsidRPr="00EF5C89" w:rsidRDefault="003B7A1F" w:rsidP="004974D2">
    <w:pPr>
      <w:pStyle w:val="Header"/>
      <w:tabs>
        <w:tab w:val="clear" w:pos="4680"/>
        <w:tab w:val="clear" w:pos="9360"/>
        <w:tab w:val="left" w:pos="2847"/>
      </w:tabs>
    </w:pPr>
    <w:r w:rsidRPr="0088153E">
      <w:rPr>
        <w:noProof/>
        <w:lang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01BE0"/>
    <w:multiLevelType w:val="hybridMultilevel"/>
    <w:tmpl w:val="7A6C21D2"/>
    <w:lvl w:ilvl="0" w:tplc="F3801EDE">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354A25"/>
    <w:multiLevelType w:val="hybridMultilevel"/>
    <w:tmpl w:val="4C109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730C61"/>
    <w:multiLevelType w:val="hybridMultilevel"/>
    <w:tmpl w:val="7DF46D1C"/>
    <w:lvl w:ilvl="0" w:tplc="0409000F">
      <w:start w:val="1"/>
      <w:numFmt w:val="decimal"/>
      <w:lvlText w:val="%1."/>
      <w:lvlJc w:val="left"/>
      <w:pPr>
        <w:ind w:left="720" w:hanging="360"/>
      </w:pPr>
    </w:lvl>
    <w:lvl w:ilvl="1" w:tplc="2492518A">
      <w:start w:val="1"/>
      <w:numFmt w:val="bullet"/>
      <w:lvlText w:val=""/>
      <w:lvlJc w:val="left"/>
      <w:pPr>
        <w:ind w:left="1440" w:hanging="360"/>
      </w:pPr>
      <w:rPr>
        <w:rFonts w:ascii="Wingdings" w:eastAsia="Times New Roman" w:hAnsi="Wingdings"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F4EE0"/>
    <w:multiLevelType w:val="multilevel"/>
    <w:tmpl w:val="71B4A8CC"/>
    <w:lvl w:ilvl="0">
      <w:start w:val="1"/>
      <w:numFmt w:val="decimal"/>
      <w:lvlText w:val="%1."/>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7D30CF"/>
    <w:multiLevelType w:val="hybridMultilevel"/>
    <w:tmpl w:val="5372C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E313D7"/>
    <w:multiLevelType w:val="hybridMultilevel"/>
    <w:tmpl w:val="9B6E3298"/>
    <w:lvl w:ilvl="0" w:tplc="9E7C6E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F67218"/>
    <w:multiLevelType w:val="hybridMultilevel"/>
    <w:tmpl w:val="0A329C0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8A52A6"/>
    <w:multiLevelType w:val="hybridMultilevel"/>
    <w:tmpl w:val="08B2E5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B504CE"/>
    <w:multiLevelType w:val="hybridMultilevel"/>
    <w:tmpl w:val="5B566B36"/>
    <w:lvl w:ilvl="0" w:tplc="30F45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85052A"/>
    <w:multiLevelType w:val="hybridMultilevel"/>
    <w:tmpl w:val="A8FA0A64"/>
    <w:lvl w:ilvl="0" w:tplc="1348FF0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503D53"/>
    <w:multiLevelType w:val="hybridMultilevel"/>
    <w:tmpl w:val="BF6E57EE"/>
    <w:lvl w:ilvl="0" w:tplc="E0326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CE1B7A"/>
    <w:multiLevelType w:val="hybridMultilevel"/>
    <w:tmpl w:val="BD9C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45C6B"/>
    <w:multiLevelType w:val="hybridMultilevel"/>
    <w:tmpl w:val="8A30F2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195089"/>
    <w:multiLevelType w:val="hybridMultilevel"/>
    <w:tmpl w:val="4244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30A0E"/>
    <w:multiLevelType w:val="multilevel"/>
    <w:tmpl w:val="71B4A8CC"/>
    <w:lvl w:ilvl="0">
      <w:start w:val="1"/>
      <w:numFmt w:val="decimal"/>
      <w:lvlText w:val="%1."/>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06C1307"/>
    <w:multiLevelType w:val="hybridMultilevel"/>
    <w:tmpl w:val="2A2AEAB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26522FA"/>
    <w:multiLevelType w:val="hybridMultilevel"/>
    <w:tmpl w:val="7166F4FE"/>
    <w:lvl w:ilvl="0" w:tplc="BA086598">
      <w:start w:val="1"/>
      <w:numFmt w:val="decimal"/>
      <w:lvlText w:val="%1."/>
      <w:lvlJc w:val="left"/>
      <w:pPr>
        <w:ind w:left="720" w:hanging="360"/>
      </w:pPr>
      <w:rPr>
        <w:rFonts w:ascii="Arial" w:hAnsi="Arial" w:cs="Arial" w:hint="default"/>
      </w:rPr>
    </w:lvl>
    <w:lvl w:ilvl="1" w:tplc="E5906A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A4EDD"/>
    <w:multiLevelType w:val="multilevel"/>
    <w:tmpl w:val="71B4A8CC"/>
    <w:lvl w:ilvl="0">
      <w:start w:val="1"/>
      <w:numFmt w:val="decimal"/>
      <w:lvlText w:val="%1."/>
      <w:lvlJc w:val="left"/>
      <w:pPr>
        <w:ind w:left="720" w:hanging="360"/>
      </w:pPr>
      <w:rPr>
        <w:rFonts w:hint="default"/>
      </w:rPr>
    </w:lvl>
    <w:lvl w:ilvl="1">
      <w:start w:val="1"/>
      <w:numFmt w:val="decimal"/>
      <w:isLgl/>
      <w:lvlText w:val="%1.%2"/>
      <w:lvlJc w:val="left"/>
      <w:pPr>
        <w:ind w:left="81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1C21BDC"/>
    <w:multiLevelType w:val="hybridMultilevel"/>
    <w:tmpl w:val="8E388C92"/>
    <w:lvl w:ilvl="0" w:tplc="5DE20578">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3D6EC3"/>
    <w:multiLevelType w:val="multilevel"/>
    <w:tmpl w:val="8E388C92"/>
    <w:lvl w:ilvl="0">
      <w:start w:val="1"/>
      <w:numFmt w:val="decimal"/>
      <w:lvlText w:val="%1."/>
      <w:lvlJc w:val="left"/>
      <w:pPr>
        <w:ind w:left="1080" w:hanging="360"/>
      </w:pPr>
      <w:rPr>
        <w:rFonts w:ascii="Arial" w:eastAsia="Times New Roman" w:hAnsi="Arial" w:cs="Arial"/>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BAA1DA9"/>
    <w:multiLevelType w:val="hybridMultilevel"/>
    <w:tmpl w:val="88D607FA"/>
    <w:lvl w:ilvl="0" w:tplc="BA086598">
      <w:start w:val="1"/>
      <w:numFmt w:val="decimal"/>
      <w:lvlText w:val="%1."/>
      <w:lvlJc w:val="left"/>
      <w:pPr>
        <w:ind w:left="1080" w:hanging="360"/>
      </w:pPr>
      <w:rPr>
        <w:rFonts w:ascii="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450057"/>
    <w:multiLevelType w:val="hybridMultilevel"/>
    <w:tmpl w:val="C534D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B6067"/>
    <w:multiLevelType w:val="hybridMultilevel"/>
    <w:tmpl w:val="DD76BAA2"/>
    <w:lvl w:ilvl="0" w:tplc="BA086598">
      <w:start w:val="1"/>
      <w:numFmt w:val="decimal"/>
      <w:lvlText w:val="%1."/>
      <w:lvlJc w:val="left"/>
      <w:pPr>
        <w:ind w:left="1080" w:hanging="360"/>
      </w:pPr>
      <w:rPr>
        <w:rFonts w:ascii="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6610CD"/>
    <w:multiLevelType w:val="hybridMultilevel"/>
    <w:tmpl w:val="937EB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3"/>
  </w:num>
  <w:num w:numId="3">
    <w:abstractNumId w:val="16"/>
  </w:num>
  <w:num w:numId="4">
    <w:abstractNumId w:val="5"/>
  </w:num>
  <w:num w:numId="5">
    <w:abstractNumId w:val="19"/>
  </w:num>
  <w:num w:numId="6">
    <w:abstractNumId w:val="13"/>
  </w:num>
  <w:num w:numId="7">
    <w:abstractNumId w:val="15"/>
  </w:num>
  <w:num w:numId="8">
    <w:abstractNumId w:val="0"/>
  </w:num>
  <w:num w:numId="9">
    <w:abstractNumId w:val="10"/>
  </w:num>
  <w:num w:numId="10">
    <w:abstractNumId w:val="7"/>
  </w:num>
  <w:num w:numId="11">
    <w:abstractNumId w:val="22"/>
  </w:num>
  <w:num w:numId="12">
    <w:abstractNumId w:val="9"/>
  </w:num>
  <w:num w:numId="13">
    <w:abstractNumId w:val="11"/>
  </w:num>
  <w:num w:numId="14">
    <w:abstractNumId w:val="4"/>
  </w:num>
  <w:num w:numId="15">
    <w:abstractNumId w:val="18"/>
  </w:num>
  <w:num w:numId="16">
    <w:abstractNumId w:val="20"/>
  </w:num>
  <w:num w:numId="17">
    <w:abstractNumId w:val="3"/>
  </w:num>
  <w:num w:numId="18">
    <w:abstractNumId w:val="25"/>
  </w:num>
  <w:num w:numId="19">
    <w:abstractNumId w:val="21"/>
  </w:num>
  <w:num w:numId="20">
    <w:abstractNumId w:val="2"/>
  </w:num>
  <w:num w:numId="21">
    <w:abstractNumId w:val="24"/>
  </w:num>
  <w:num w:numId="22">
    <w:abstractNumId w:val="12"/>
  </w:num>
  <w:num w:numId="23">
    <w:abstractNumId w:val="17"/>
  </w:num>
  <w:num w:numId="24">
    <w:abstractNumId w:val="14"/>
  </w:num>
  <w:num w:numId="25">
    <w:abstractNumId w:val="8"/>
  </w:num>
  <w:num w:numId="26">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7FD6"/>
    <w:rsid w:val="000259E8"/>
    <w:rsid w:val="00032989"/>
    <w:rsid w:val="000362BD"/>
    <w:rsid w:val="00036C93"/>
    <w:rsid w:val="00036F15"/>
    <w:rsid w:val="00041B5E"/>
    <w:rsid w:val="0004384D"/>
    <w:rsid w:val="000439CA"/>
    <w:rsid w:val="0005300F"/>
    <w:rsid w:val="000537E5"/>
    <w:rsid w:val="00053992"/>
    <w:rsid w:val="000554E3"/>
    <w:rsid w:val="000579BB"/>
    <w:rsid w:val="0006376E"/>
    <w:rsid w:val="0009096F"/>
    <w:rsid w:val="00090ACB"/>
    <w:rsid w:val="00095D68"/>
    <w:rsid w:val="000A68EF"/>
    <w:rsid w:val="000C25FA"/>
    <w:rsid w:val="000D5A67"/>
    <w:rsid w:val="000D6CD4"/>
    <w:rsid w:val="001022DC"/>
    <w:rsid w:val="0010711D"/>
    <w:rsid w:val="00117156"/>
    <w:rsid w:val="001328B2"/>
    <w:rsid w:val="00133970"/>
    <w:rsid w:val="00144E22"/>
    <w:rsid w:val="00147817"/>
    <w:rsid w:val="00147F87"/>
    <w:rsid w:val="001505AA"/>
    <w:rsid w:val="00151EC3"/>
    <w:rsid w:val="001547CE"/>
    <w:rsid w:val="0016421B"/>
    <w:rsid w:val="00165811"/>
    <w:rsid w:val="001659FE"/>
    <w:rsid w:val="00166B0D"/>
    <w:rsid w:val="001860DE"/>
    <w:rsid w:val="00186E07"/>
    <w:rsid w:val="001A0A50"/>
    <w:rsid w:val="001A7B2E"/>
    <w:rsid w:val="001B0A05"/>
    <w:rsid w:val="001B2261"/>
    <w:rsid w:val="001C210C"/>
    <w:rsid w:val="001C38F4"/>
    <w:rsid w:val="001C39D4"/>
    <w:rsid w:val="001C77AE"/>
    <w:rsid w:val="001D399F"/>
    <w:rsid w:val="001E2684"/>
    <w:rsid w:val="001E53ED"/>
    <w:rsid w:val="001E692B"/>
    <w:rsid w:val="002049CA"/>
    <w:rsid w:val="002064CD"/>
    <w:rsid w:val="0021296C"/>
    <w:rsid w:val="00235887"/>
    <w:rsid w:val="00240271"/>
    <w:rsid w:val="00242511"/>
    <w:rsid w:val="00244F7F"/>
    <w:rsid w:val="002461C0"/>
    <w:rsid w:val="00250647"/>
    <w:rsid w:val="00253EC4"/>
    <w:rsid w:val="002555D3"/>
    <w:rsid w:val="002622F2"/>
    <w:rsid w:val="00264C10"/>
    <w:rsid w:val="0026721D"/>
    <w:rsid w:val="00276B8F"/>
    <w:rsid w:val="00292D2F"/>
    <w:rsid w:val="002A244D"/>
    <w:rsid w:val="002A3226"/>
    <w:rsid w:val="002C6414"/>
    <w:rsid w:val="002D316C"/>
    <w:rsid w:val="002D6462"/>
    <w:rsid w:val="002E0357"/>
    <w:rsid w:val="002F3569"/>
    <w:rsid w:val="00304EC0"/>
    <w:rsid w:val="00310A4F"/>
    <w:rsid w:val="00311CEF"/>
    <w:rsid w:val="00311F98"/>
    <w:rsid w:val="003152BC"/>
    <w:rsid w:val="00335C8D"/>
    <w:rsid w:val="00337BAE"/>
    <w:rsid w:val="00342C34"/>
    <w:rsid w:val="003456F3"/>
    <w:rsid w:val="00350155"/>
    <w:rsid w:val="00350648"/>
    <w:rsid w:val="003536CB"/>
    <w:rsid w:val="00357496"/>
    <w:rsid w:val="003703C9"/>
    <w:rsid w:val="00373D1D"/>
    <w:rsid w:val="00393D87"/>
    <w:rsid w:val="003A3840"/>
    <w:rsid w:val="003B7A1F"/>
    <w:rsid w:val="003F03F5"/>
    <w:rsid w:val="003F12CC"/>
    <w:rsid w:val="003F1384"/>
    <w:rsid w:val="003F2BF5"/>
    <w:rsid w:val="003F3614"/>
    <w:rsid w:val="00412481"/>
    <w:rsid w:val="00414671"/>
    <w:rsid w:val="0042014E"/>
    <w:rsid w:val="004207ED"/>
    <w:rsid w:val="00426B81"/>
    <w:rsid w:val="00426F5E"/>
    <w:rsid w:val="00432B98"/>
    <w:rsid w:val="00433B33"/>
    <w:rsid w:val="00442EE8"/>
    <w:rsid w:val="0044631B"/>
    <w:rsid w:val="004503C5"/>
    <w:rsid w:val="004540D0"/>
    <w:rsid w:val="004555CF"/>
    <w:rsid w:val="00457729"/>
    <w:rsid w:val="00464AA9"/>
    <w:rsid w:val="004745D8"/>
    <w:rsid w:val="00475522"/>
    <w:rsid w:val="00482A00"/>
    <w:rsid w:val="004974D2"/>
    <w:rsid w:val="004A51BA"/>
    <w:rsid w:val="004A5416"/>
    <w:rsid w:val="004B3928"/>
    <w:rsid w:val="004C46F7"/>
    <w:rsid w:val="004C4C4D"/>
    <w:rsid w:val="004C6B67"/>
    <w:rsid w:val="004D505B"/>
    <w:rsid w:val="004E2235"/>
    <w:rsid w:val="0050120A"/>
    <w:rsid w:val="005013FA"/>
    <w:rsid w:val="00501C43"/>
    <w:rsid w:val="00501CD1"/>
    <w:rsid w:val="00501F87"/>
    <w:rsid w:val="00506503"/>
    <w:rsid w:val="00512D26"/>
    <w:rsid w:val="005476F5"/>
    <w:rsid w:val="00551EE2"/>
    <w:rsid w:val="00553F88"/>
    <w:rsid w:val="005546A2"/>
    <w:rsid w:val="00566DA9"/>
    <w:rsid w:val="00590F16"/>
    <w:rsid w:val="00595E89"/>
    <w:rsid w:val="005A25B4"/>
    <w:rsid w:val="005B2B6A"/>
    <w:rsid w:val="005C7232"/>
    <w:rsid w:val="005E2BFA"/>
    <w:rsid w:val="006075E7"/>
    <w:rsid w:val="00613A46"/>
    <w:rsid w:val="006148DC"/>
    <w:rsid w:val="006279A2"/>
    <w:rsid w:val="00635BFE"/>
    <w:rsid w:val="00642125"/>
    <w:rsid w:val="00644444"/>
    <w:rsid w:val="00644DDC"/>
    <w:rsid w:val="00656C5F"/>
    <w:rsid w:val="00657374"/>
    <w:rsid w:val="00666679"/>
    <w:rsid w:val="00666EA3"/>
    <w:rsid w:val="00671289"/>
    <w:rsid w:val="00671503"/>
    <w:rsid w:val="006740A1"/>
    <w:rsid w:val="00683268"/>
    <w:rsid w:val="0069485B"/>
    <w:rsid w:val="006A1CDF"/>
    <w:rsid w:val="006A6D5A"/>
    <w:rsid w:val="006C16DE"/>
    <w:rsid w:val="006F1C1C"/>
    <w:rsid w:val="00736FFC"/>
    <w:rsid w:val="00762798"/>
    <w:rsid w:val="00762B81"/>
    <w:rsid w:val="007744FB"/>
    <w:rsid w:val="00775CB9"/>
    <w:rsid w:val="00793A4F"/>
    <w:rsid w:val="007A5107"/>
    <w:rsid w:val="007B6BA5"/>
    <w:rsid w:val="007C12F5"/>
    <w:rsid w:val="007C73E8"/>
    <w:rsid w:val="007D01AD"/>
    <w:rsid w:val="007D131C"/>
    <w:rsid w:val="007E5769"/>
    <w:rsid w:val="007E5E19"/>
    <w:rsid w:val="007F2B57"/>
    <w:rsid w:val="007F7CB0"/>
    <w:rsid w:val="008022C1"/>
    <w:rsid w:val="00812F17"/>
    <w:rsid w:val="0083252A"/>
    <w:rsid w:val="008334C1"/>
    <w:rsid w:val="00835E23"/>
    <w:rsid w:val="00837D7A"/>
    <w:rsid w:val="008411EE"/>
    <w:rsid w:val="0085342B"/>
    <w:rsid w:val="00874018"/>
    <w:rsid w:val="0088153E"/>
    <w:rsid w:val="008853E9"/>
    <w:rsid w:val="00895D90"/>
    <w:rsid w:val="00897B0B"/>
    <w:rsid w:val="008A1EC8"/>
    <w:rsid w:val="008B1704"/>
    <w:rsid w:val="008B2EBF"/>
    <w:rsid w:val="008B573D"/>
    <w:rsid w:val="008B5F02"/>
    <w:rsid w:val="008B6EED"/>
    <w:rsid w:val="008B7CD9"/>
    <w:rsid w:val="008C044B"/>
    <w:rsid w:val="008C2999"/>
    <w:rsid w:val="008C2E88"/>
    <w:rsid w:val="008C7CF6"/>
    <w:rsid w:val="008D2B18"/>
    <w:rsid w:val="008D2E1E"/>
    <w:rsid w:val="008E7053"/>
    <w:rsid w:val="00900BDB"/>
    <w:rsid w:val="00903F2A"/>
    <w:rsid w:val="00906ADA"/>
    <w:rsid w:val="009213A0"/>
    <w:rsid w:val="00926A68"/>
    <w:rsid w:val="00934EB9"/>
    <w:rsid w:val="00935B3E"/>
    <w:rsid w:val="00935EA6"/>
    <w:rsid w:val="00943F81"/>
    <w:rsid w:val="009539CD"/>
    <w:rsid w:val="00955C37"/>
    <w:rsid w:val="00956AFF"/>
    <w:rsid w:val="00970B47"/>
    <w:rsid w:val="009744B7"/>
    <w:rsid w:val="009770D3"/>
    <w:rsid w:val="00993DC3"/>
    <w:rsid w:val="0099405D"/>
    <w:rsid w:val="009A2A34"/>
    <w:rsid w:val="009A557C"/>
    <w:rsid w:val="009C1F3C"/>
    <w:rsid w:val="009C77F7"/>
    <w:rsid w:val="009E1065"/>
    <w:rsid w:val="009E1E9A"/>
    <w:rsid w:val="009E6203"/>
    <w:rsid w:val="009F6C19"/>
    <w:rsid w:val="00A05D63"/>
    <w:rsid w:val="00A07387"/>
    <w:rsid w:val="00A213D6"/>
    <w:rsid w:val="00A300E3"/>
    <w:rsid w:val="00A35DF1"/>
    <w:rsid w:val="00A40050"/>
    <w:rsid w:val="00A45EC3"/>
    <w:rsid w:val="00A45FB0"/>
    <w:rsid w:val="00A504CA"/>
    <w:rsid w:val="00A5077E"/>
    <w:rsid w:val="00A56DD6"/>
    <w:rsid w:val="00A70299"/>
    <w:rsid w:val="00A81ADE"/>
    <w:rsid w:val="00A86C79"/>
    <w:rsid w:val="00AA3847"/>
    <w:rsid w:val="00AB152B"/>
    <w:rsid w:val="00AC0083"/>
    <w:rsid w:val="00AC7B98"/>
    <w:rsid w:val="00AD3443"/>
    <w:rsid w:val="00AE3E92"/>
    <w:rsid w:val="00AF5666"/>
    <w:rsid w:val="00B00C23"/>
    <w:rsid w:val="00B074E1"/>
    <w:rsid w:val="00B24030"/>
    <w:rsid w:val="00B26873"/>
    <w:rsid w:val="00B317F4"/>
    <w:rsid w:val="00B4401E"/>
    <w:rsid w:val="00B50963"/>
    <w:rsid w:val="00B53BF5"/>
    <w:rsid w:val="00B6572F"/>
    <w:rsid w:val="00B97B1D"/>
    <w:rsid w:val="00BA07D1"/>
    <w:rsid w:val="00BA4726"/>
    <w:rsid w:val="00BA75D0"/>
    <w:rsid w:val="00BB3F7A"/>
    <w:rsid w:val="00BC625A"/>
    <w:rsid w:val="00BD1003"/>
    <w:rsid w:val="00BD6DFC"/>
    <w:rsid w:val="00BE4CF4"/>
    <w:rsid w:val="00BF377E"/>
    <w:rsid w:val="00C01287"/>
    <w:rsid w:val="00C035CB"/>
    <w:rsid w:val="00C04854"/>
    <w:rsid w:val="00C05E3C"/>
    <w:rsid w:val="00C10994"/>
    <w:rsid w:val="00C10B87"/>
    <w:rsid w:val="00C24CD4"/>
    <w:rsid w:val="00C30867"/>
    <w:rsid w:val="00C347D7"/>
    <w:rsid w:val="00C43AB3"/>
    <w:rsid w:val="00C51F78"/>
    <w:rsid w:val="00C52086"/>
    <w:rsid w:val="00C52139"/>
    <w:rsid w:val="00C577BB"/>
    <w:rsid w:val="00C62FAE"/>
    <w:rsid w:val="00C72591"/>
    <w:rsid w:val="00C83984"/>
    <w:rsid w:val="00C862D0"/>
    <w:rsid w:val="00C91BB9"/>
    <w:rsid w:val="00C964E5"/>
    <w:rsid w:val="00C96B09"/>
    <w:rsid w:val="00CA04EF"/>
    <w:rsid w:val="00CA62B7"/>
    <w:rsid w:val="00CB2BF7"/>
    <w:rsid w:val="00CC08CE"/>
    <w:rsid w:val="00CC0FE8"/>
    <w:rsid w:val="00CC55E1"/>
    <w:rsid w:val="00CC79F5"/>
    <w:rsid w:val="00CD0BF9"/>
    <w:rsid w:val="00CD5F8E"/>
    <w:rsid w:val="00CE6287"/>
    <w:rsid w:val="00CF76BE"/>
    <w:rsid w:val="00D011D3"/>
    <w:rsid w:val="00D250AC"/>
    <w:rsid w:val="00D26144"/>
    <w:rsid w:val="00D362DC"/>
    <w:rsid w:val="00D368B9"/>
    <w:rsid w:val="00D374DF"/>
    <w:rsid w:val="00D4731B"/>
    <w:rsid w:val="00D60049"/>
    <w:rsid w:val="00D601EB"/>
    <w:rsid w:val="00D6505F"/>
    <w:rsid w:val="00D664EC"/>
    <w:rsid w:val="00D67285"/>
    <w:rsid w:val="00D74B2C"/>
    <w:rsid w:val="00D87D1A"/>
    <w:rsid w:val="00DA5D13"/>
    <w:rsid w:val="00DB0871"/>
    <w:rsid w:val="00DB13A8"/>
    <w:rsid w:val="00DB23A1"/>
    <w:rsid w:val="00DB6216"/>
    <w:rsid w:val="00DC1539"/>
    <w:rsid w:val="00DC3BFD"/>
    <w:rsid w:val="00DC55FB"/>
    <w:rsid w:val="00DC7B81"/>
    <w:rsid w:val="00DD4EC2"/>
    <w:rsid w:val="00DD612B"/>
    <w:rsid w:val="00DE325D"/>
    <w:rsid w:val="00DE3C98"/>
    <w:rsid w:val="00DE4B75"/>
    <w:rsid w:val="00E00E9B"/>
    <w:rsid w:val="00E01D2A"/>
    <w:rsid w:val="00E026F5"/>
    <w:rsid w:val="00E02798"/>
    <w:rsid w:val="00E030BE"/>
    <w:rsid w:val="00E0644F"/>
    <w:rsid w:val="00E070CA"/>
    <w:rsid w:val="00E0749B"/>
    <w:rsid w:val="00E11AC0"/>
    <w:rsid w:val="00E22232"/>
    <w:rsid w:val="00E22447"/>
    <w:rsid w:val="00E3669A"/>
    <w:rsid w:val="00E45F6E"/>
    <w:rsid w:val="00E513C5"/>
    <w:rsid w:val="00E528C4"/>
    <w:rsid w:val="00E5353D"/>
    <w:rsid w:val="00E548FA"/>
    <w:rsid w:val="00E552DA"/>
    <w:rsid w:val="00E565C2"/>
    <w:rsid w:val="00E56E10"/>
    <w:rsid w:val="00E64327"/>
    <w:rsid w:val="00E7012B"/>
    <w:rsid w:val="00E75F73"/>
    <w:rsid w:val="00E87B6C"/>
    <w:rsid w:val="00EA0ED5"/>
    <w:rsid w:val="00EA5E49"/>
    <w:rsid w:val="00EB176F"/>
    <w:rsid w:val="00EC5E6E"/>
    <w:rsid w:val="00ED3282"/>
    <w:rsid w:val="00ED5812"/>
    <w:rsid w:val="00EE69F9"/>
    <w:rsid w:val="00EF090A"/>
    <w:rsid w:val="00EF2314"/>
    <w:rsid w:val="00EF2EBA"/>
    <w:rsid w:val="00EF5C89"/>
    <w:rsid w:val="00F02202"/>
    <w:rsid w:val="00F03265"/>
    <w:rsid w:val="00F0551D"/>
    <w:rsid w:val="00F116E0"/>
    <w:rsid w:val="00F216F2"/>
    <w:rsid w:val="00F218C9"/>
    <w:rsid w:val="00F33A84"/>
    <w:rsid w:val="00F33B45"/>
    <w:rsid w:val="00F36D50"/>
    <w:rsid w:val="00F37E52"/>
    <w:rsid w:val="00F475A9"/>
    <w:rsid w:val="00F62EC0"/>
    <w:rsid w:val="00F66AFE"/>
    <w:rsid w:val="00F73E06"/>
    <w:rsid w:val="00F84035"/>
    <w:rsid w:val="00F8588C"/>
    <w:rsid w:val="00F86647"/>
    <w:rsid w:val="00F95AEC"/>
    <w:rsid w:val="00FA79A5"/>
    <w:rsid w:val="00FB3D74"/>
    <w:rsid w:val="00FC1CFE"/>
    <w:rsid w:val="00FC6E91"/>
    <w:rsid w:val="00FD59F5"/>
    <w:rsid w:val="00FE539F"/>
    <w:rsid w:val="00FF16CE"/>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C93"/>
    <w:pPr>
      <w:spacing w:line="276" w:lineRule="auto"/>
    </w:pPr>
    <w:rPr>
      <w:rFonts w:ascii="Arial" w:hAnsi="Arial" w:cs="Arial"/>
      <w:sz w:val="22"/>
      <w:szCs w:val="22"/>
      <w:lang w:val="en-CA"/>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D87D1A"/>
    <w:rPr>
      <w:rFonts w:ascii="Arial" w:eastAsiaTheme="minorHAnsi" w:hAnsi="Arial" w:cstheme="minorBidi"/>
      <w:sz w:val="22"/>
      <w:szCs w:val="22"/>
    </w:rPr>
  </w:style>
  <w:style w:type="paragraph" w:customStyle="1" w:styleId="CodeBlock">
    <w:name w:val="CodeBlock"/>
    <w:basedOn w:val="Normal"/>
    <w:qFormat/>
    <w:rsid w:val="00762798"/>
    <w:pPr>
      <w:pBdr>
        <w:top w:val="single" w:sz="4" w:space="1" w:color="auto"/>
        <w:left w:val="single" w:sz="4" w:space="4" w:color="auto"/>
        <w:bottom w:val="single" w:sz="4" w:space="1" w:color="auto"/>
        <w:right w:val="single" w:sz="4" w:space="4" w:color="auto"/>
      </w:pBdr>
      <w:spacing w:before="120" w:after="120"/>
      <w:contextualSpacing/>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832337767">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hidra-sre.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085B7-5F79-4957-AC12-820C797F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54</TotalTime>
  <Pages>12</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coleton sanheim</cp:lastModifiedBy>
  <cp:revision>45</cp:revision>
  <cp:lastPrinted>2016-05-26T19:36:00Z</cp:lastPrinted>
  <dcterms:created xsi:type="dcterms:W3CDTF">2022-02-09T22:41:00Z</dcterms:created>
  <dcterms:modified xsi:type="dcterms:W3CDTF">2022-02-09T23:31:00Z</dcterms:modified>
</cp:coreProperties>
</file>