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4AD8" w14:textId="77777777" w:rsidR="00AE2975" w:rsidRDefault="00B513D1" w:rsidP="00B513D1">
      <w:pPr>
        <w:rPr>
          <w:lang w:val="en-CA"/>
        </w:rPr>
      </w:pPr>
      <w:r>
        <w:rPr>
          <w:lang w:val="en-CA"/>
        </w:rPr>
        <w:t>Security models are used extensively to describe different framework</w:t>
      </w:r>
      <w:r w:rsidR="00A62872">
        <w:rPr>
          <w:lang w:val="en-CA"/>
        </w:rPr>
        <w:t>s</w:t>
      </w:r>
      <w:r>
        <w:rPr>
          <w:lang w:val="en-CA"/>
        </w:rPr>
        <w:t xml:space="preserve"> for protecting and allowing access to resources. Many security models were discussed during the lecture. </w:t>
      </w:r>
    </w:p>
    <w:p w14:paraId="53B99B00" w14:textId="127C3654" w:rsidR="00AE2975" w:rsidRPr="00AE2975" w:rsidRDefault="00AE2975" w:rsidP="00AE2975">
      <w:pPr>
        <w:pStyle w:val="Heading1"/>
        <w:spacing w:before="360"/>
        <w:rPr>
          <w:sz w:val="32"/>
          <w:lang w:val="en-CA"/>
        </w:rPr>
      </w:pPr>
      <w:r w:rsidRPr="00AE2975">
        <w:rPr>
          <w:sz w:val="32"/>
          <w:lang w:val="en-CA"/>
        </w:rPr>
        <w:t>Instructions</w:t>
      </w:r>
    </w:p>
    <w:p w14:paraId="76663BDC" w14:textId="36C25C87" w:rsidR="00B513D1" w:rsidRDefault="002C5A46" w:rsidP="00B513D1">
      <w:pPr>
        <w:rPr>
          <w:lang w:val="en-CA"/>
        </w:rPr>
      </w:pPr>
      <w:r>
        <w:rPr>
          <w:lang w:val="en-CA"/>
        </w:rPr>
        <w:t>For this assignment, p</w:t>
      </w:r>
      <w:r w:rsidR="00B513D1">
        <w:rPr>
          <w:lang w:val="en-CA"/>
        </w:rPr>
        <w:t>repare a comparison matrix of the following security models and their attributes</w:t>
      </w:r>
      <w:r w:rsidR="00AE2975">
        <w:rPr>
          <w:lang w:val="en-CA"/>
        </w:rPr>
        <w:t xml:space="preserve"> using the table below</w:t>
      </w:r>
      <w:r w:rsidR="00B513D1">
        <w:rPr>
          <w:lang w:val="en-CA"/>
        </w:rPr>
        <w:t>:</w:t>
      </w:r>
    </w:p>
    <w:p w14:paraId="40CCFACA" w14:textId="77777777" w:rsidR="00B513D1" w:rsidRDefault="00B513D1" w:rsidP="00B513D1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Bell-</w:t>
      </w:r>
      <w:proofErr w:type="spellStart"/>
      <w:r>
        <w:rPr>
          <w:lang w:val="en-CA"/>
        </w:rPr>
        <w:t>LaPadula</w:t>
      </w:r>
      <w:proofErr w:type="spellEnd"/>
      <w:r>
        <w:rPr>
          <w:lang w:val="en-CA"/>
        </w:rPr>
        <w:t xml:space="preserve"> Confidentiality Model</w:t>
      </w:r>
    </w:p>
    <w:p w14:paraId="12BDFEA3" w14:textId="77777777" w:rsidR="00B513D1" w:rsidRDefault="00B513D1" w:rsidP="00B513D1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Biba Integrity Model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49"/>
        <w:gridCol w:w="3081"/>
        <w:gridCol w:w="3420"/>
      </w:tblGrid>
      <w:tr w:rsidR="00866157" w14:paraId="419BCAE6" w14:textId="77777777" w:rsidTr="00702AE9">
        <w:tc>
          <w:tcPr>
            <w:tcW w:w="2049" w:type="dxa"/>
            <w:shd w:val="clear" w:color="auto" w:fill="D9D9D9" w:themeFill="background1" w:themeFillShade="D9"/>
            <w:vAlign w:val="center"/>
          </w:tcPr>
          <w:p w14:paraId="79D1120E" w14:textId="77777777" w:rsidR="00866157" w:rsidRPr="00AE2975" w:rsidRDefault="00866157" w:rsidP="00AE2975">
            <w:pPr>
              <w:tabs>
                <w:tab w:val="left" w:pos="6540"/>
              </w:tabs>
              <w:spacing w:before="120"/>
              <w:jc w:val="center"/>
              <w:rPr>
                <w:b/>
                <w:lang w:val="en-CA"/>
              </w:rPr>
            </w:pPr>
            <w:r w:rsidRPr="00AE2975">
              <w:rPr>
                <w:b/>
                <w:lang w:val="en-CA"/>
              </w:rPr>
              <w:t>Model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14:paraId="64AE8E02" w14:textId="77777777" w:rsidR="00866157" w:rsidRPr="00AE2975" w:rsidRDefault="00866157" w:rsidP="00AE2975">
            <w:pPr>
              <w:tabs>
                <w:tab w:val="left" w:pos="6540"/>
              </w:tabs>
              <w:spacing w:before="120"/>
              <w:jc w:val="center"/>
              <w:rPr>
                <w:b/>
                <w:lang w:val="en-CA"/>
              </w:rPr>
            </w:pPr>
            <w:r w:rsidRPr="00AE2975">
              <w:rPr>
                <w:b/>
                <w:lang w:val="en-CA"/>
              </w:rPr>
              <w:t>Bell-</w:t>
            </w:r>
            <w:proofErr w:type="spellStart"/>
            <w:r w:rsidRPr="00AE2975">
              <w:rPr>
                <w:b/>
                <w:lang w:val="en-CA"/>
              </w:rPr>
              <w:t>LaPadula</w:t>
            </w:r>
            <w:proofErr w:type="spellEnd"/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78AC45C" w14:textId="77777777" w:rsidR="00866157" w:rsidRPr="00AE2975" w:rsidRDefault="00866157" w:rsidP="00AE2975">
            <w:pPr>
              <w:tabs>
                <w:tab w:val="left" w:pos="6540"/>
              </w:tabs>
              <w:spacing w:before="120"/>
              <w:jc w:val="center"/>
              <w:rPr>
                <w:b/>
                <w:lang w:val="en-CA"/>
              </w:rPr>
            </w:pPr>
            <w:r w:rsidRPr="00AE2975">
              <w:rPr>
                <w:b/>
                <w:lang w:val="en-CA"/>
              </w:rPr>
              <w:t>Biba</w:t>
            </w:r>
          </w:p>
        </w:tc>
      </w:tr>
      <w:tr w:rsidR="00866157" w14:paraId="1860A461" w14:textId="77777777" w:rsidTr="00702AE9">
        <w:tc>
          <w:tcPr>
            <w:tcW w:w="2049" w:type="dxa"/>
          </w:tcPr>
          <w:p w14:paraId="10C3AC5B" w14:textId="7777777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Addresses:</w:t>
            </w:r>
          </w:p>
          <w:p w14:paraId="3DB7C785" w14:textId="7777777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Confidentiality</w:t>
            </w:r>
          </w:p>
          <w:p w14:paraId="4E6E1674" w14:textId="7777777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Integrity</w:t>
            </w:r>
          </w:p>
        </w:tc>
        <w:tc>
          <w:tcPr>
            <w:tcW w:w="3081" w:type="dxa"/>
          </w:tcPr>
          <w:p w14:paraId="70603183" w14:textId="4C54B2C4" w:rsidR="00D06D6B" w:rsidRDefault="00D06D6B" w:rsidP="00D06D6B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Focuses on the confidentiality of information and</w:t>
            </w:r>
            <w:r>
              <w:rPr>
                <w:lang w:val="en-CA"/>
              </w:rPr>
              <w:t xml:space="preserve"> </w:t>
            </w:r>
            <w:r w:rsidRPr="00D06D6B">
              <w:rPr>
                <w:lang w:val="en-CA"/>
              </w:rPr>
              <w:t>prevents unauthorized access to objects</w:t>
            </w:r>
          </w:p>
        </w:tc>
        <w:tc>
          <w:tcPr>
            <w:tcW w:w="3420" w:type="dxa"/>
          </w:tcPr>
          <w:p w14:paraId="35585278" w14:textId="4DA3AED3" w:rsidR="00866157" w:rsidRDefault="00D06D6B" w:rsidP="00D06D6B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Focuses on the integrity of information and</w:t>
            </w:r>
            <w:r>
              <w:rPr>
                <w:lang w:val="en-CA"/>
              </w:rPr>
              <w:t xml:space="preserve"> </w:t>
            </w:r>
            <w:r w:rsidRPr="00D06D6B">
              <w:rPr>
                <w:lang w:val="en-CA"/>
              </w:rPr>
              <w:t>prevents unauthorized modification to objects</w:t>
            </w:r>
          </w:p>
        </w:tc>
      </w:tr>
      <w:tr w:rsidR="00866157" w14:paraId="56A5CD40" w14:textId="77777777" w:rsidTr="00702AE9">
        <w:tc>
          <w:tcPr>
            <w:tcW w:w="2049" w:type="dxa"/>
          </w:tcPr>
          <w:p w14:paraId="4E8EEE76" w14:textId="7777777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Reference model:</w:t>
            </w:r>
          </w:p>
          <w:p w14:paraId="5C5EFACF" w14:textId="0BCBCD9F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State </w:t>
            </w:r>
            <w:r w:rsidR="008B746C">
              <w:rPr>
                <w:lang w:val="en-CA"/>
              </w:rPr>
              <w:t>m</w:t>
            </w:r>
            <w:r>
              <w:rPr>
                <w:lang w:val="en-CA"/>
              </w:rPr>
              <w:t>achine</w:t>
            </w:r>
          </w:p>
          <w:p w14:paraId="42C8BE27" w14:textId="69F45283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Multilevel </w:t>
            </w:r>
            <w:r w:rsidR="008B746C">
              <w:rPr>
                <w:lang w:val="en-CA"/>
              </w:rPr>
              <w:t>l</w:t>
            </w:r>
            <w:r>
              <w:rPr>
                <w:lang w:val="en-CA"/>
              </w:rPr>
              <w:t>attice</w:t>
            </w:r>
          </w:p>
          <w:p w14:paraId="2A33A7AD" w14:textId="064FE80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Non</w:t>
            </w:r>
            <w:r w:rsidR="00C862C8">
              <w:rPr>
                <w:lang w:val="en-CA"/>
              </w:rPr>
              <w:t>-</w:t>
            </w:r>
            <w:r>
              <w:rPr>
                <w:lang w:val="en-CA"/>
              </w:rPr>
              <w:t>interference</w:t>
            </w:r>
          </w:p>
          <w:p w14:paraId="1AB45298" w14:textId="77777777" w:rsidR="00866157" w:rsidRDefault="0086615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Matrix-based</w:t>
            </w:r>
          </w:p>
          <w:p w14:paraId="12D15448" w14:textId="02A30FBD" w:rsidR="00866157" w:rsidRDefault="00866157" w:rsidP="00C862C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Information </w:t>
            </w:r>
            <w:r w:rsidR="00C862C8">
              <w:rPr>
                <w:lang w:val="en-CA"/>
              </w:rPr>
              <w:t>f</w:t>
            </w:r>
            <w:r>
              <w:rPr>
                <w:lang w:val="en-CA"/>
              </w:rPr>
              <w:t>low</w:t>
            </w:r>
          </w:p>
        </w:tc>
        <w:tc>
          <w:tcPr>
            <w:tcW w:w="3081" w:type="dxa"/>
          </w:tcPr>
          <w:p w14:paraId="039B1771" w14:textId="5F80535D" w:rsidR="00866157" w:rsidRDefault="00D06D6B" w:rsidP="00D06D6B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It is an example of information flow, multilevel lattice,</w:t>
            </w:r>
            <w:r>
              <w:rPr>
                <w:lang w:val="en-CA"/>
              </w:rPr>
              <w:t xml:space="preserve"> </w:t>
            </w:r>
            <w:r w:rsidRPr="00D06D6B">
              <w:rPr>
                <w:lang w:val="en-CA"/>
              </w:rPr>
              <w:t>mandatory access control and state machine models</w:t>
            </w:r>
          </w:p>
        </w:tc>
        <w:tc>
          <w:tcPr>
            <w:tcW w:w="3420" w:type="dxa"/>
          </w:tcPr>
          <w:p w14:paraId="6FDEEFE3" w14:textId="52E5CF70" w:rsidR="00866157" w:rsidRDefault="00D06D6B" w:rsidP="00D06D6B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It is an example of information flow, multilevel</w:t>
            </w:r>
            <w:r>
              <w:rPr>
                <w:lang w:val="en-CA"/>
              </w:rPr>
              <w:t xml:space="preserve"> </w:t>
            </w:r>
            <w:r w:rsidRPr="00D06D6B">
              <w:rPr>
                <w:lang w:val="en-CA"/>
              </w:rPr>
              <w:t>lattice and state machine</w:t>
            </w:r>
          </w:p>
        </w:tc>
      </w:tr>
      <w:tr w:rsidR="00866157" w14:paraId="510A3E03" w14:textId="77777777" w:rsidTr="00702AE9">
        <w:tc>
          <w:tcPr>
            <w:tcW w:w="2049" w:type="dxa"/>
          </w:tcPr>
          <w:p w14:paraId="31BFFEC5" w14:textId="58BDD349" w:rsidR="00866157" w:rsidRDefault="00C84CB7" w:rsidP="005F3E78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>Simple p</w:t>
            </w:r>
            <w:r w:rsidR="00866157">
              <w:rPr>
                <w:lang w:val="en-CA"/>
              </w:rPr>
              <w:t>roperty</w:t>
            </w:r>
          </w:p>
        </w:tc>
        <w:tc>
          <w:tcPr>
            <w:tcW w:w="3081" w:type="dxa"/>
          </w:tcPr>
          <w:p w14:paraId="2D9DA256" w14:textId="710F779D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No read up</w:t>
            </w:r>
          </w:p>
        </w:tc>
        <w:tc>
          <w:tcPr>
            <w:tcW w:w="3420" w:type="dxa"/>
          </w:tcPr>
          <w:p w14:paraId="13697DC2" w14:textId="14257B19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No read down</w:t>
            </w:r>
          </w:p>
        </w:tc>
      </w:tr>
      <w:tr w:rsidR="00866157" w14:paraId="4F51E912" w14:textId="77777777" w:rsidTr="00702AE9">
        <w:tc>
          <w:tcPr>
            <w:tcW w:w="2049" w:type="dxa"/>
          </w:tcPr>
          <w:p w14:paraId="10F9DE52" w14:textId="39F14391" w:rsidR="00866157" w:rsidRDefault="00866157" w:rsidP="00C84CB7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Star </w:t>
            </w:r>
            <w:r w:rsidR="00C84CB7">
              <w:rPr>
                <w:lang w:val="en-CA"/>
              </w:rPr>
              <w:t>p</w:t>
            </w:r>
            <w:r>
              <w:rPr>
                <w:lang w:val="en-CA"/>
              </w:rPr>
              <w:t>roperty</w:t>
            </w:r>
          </w:p>
        </w:tc>
        <w:tc>
          <w:tcPr>
            <w:tcW w:w="3081" w:type="dxa"/>
          </w:tcPr>
          <w:p w14:paraId="5CD2B279" w14:textId="277699BC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No write down</w:t>
            </w:r>
          </w:p>
        </w:tc>
        <w:tc>
          <w:tcPr>
            <w:tcW w:w="3420" w:type="dxa"/>
          </w:tcPr>
          <w:p w14:paraId="1A15BF20" w14:textId="7FFF67A6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No write up</w:t>
            </w:r>
          </w:p>
        </w:tc>
      </w:tr>
      <w:tr w:rsidR="00866157" w14:paraId="7CD4993D" w14:textId="77777777" w:rsidTr="00702AE9">
        <w:tc>
          <w:tcPr>
            <w:tcW w:w="2049" w:type="dxa"/>
          </w:tcPr>
          <w:p w14:paraId="14672518" w14:textId="33DD497F" w:rsidR="00866157" w:rsidRDefault="00866157" w:rsidP="00C84CB7">
            <w:pPr>
              <w:tabs>
                <w:tab w:val="left" w:pos="6540"/>
              </w:tabs>
              <w:rPr>
                <w:lang w:val="en-CA"/>
              </w:rPr>
            </w:pPr>
            <w:r>
              <w:rPr>
                <w:lang w:val="en-CA"/>
              </w:rPr>
              <w:t xml:space="preserve">Strong star or invocation </w:t>
            </w:r>
            <w:r w:rsidR="00C84CB7">
              <w:rPr>
                <w:lang w:val="en-CA"/>
              </w:rPr>
              <w:t>p</w:t>
            </w:r>
            <w:r>
              <w:rPr>
                <w:lang w:val="en-CA"/>
              </w:rPr>
              <w:t>roperty</w:t>
            </w:r>
          </w:p>
        </w:tc>
        <w:tc>
          <w:tcPr>
            <w:tcW w:w="3081" w:type="dxa"/>
          </w:tcPr>
          <w:p w14:paraId="5406BD1E" w14:textId="7030B12F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Read/Write</w:t>
            </w:r>
          </w:p>
        </w:tc>
        <w:tc>
          <w:tcPr>
            <w:tcW w:w="3420" w:type="dxa"/>
          </w:tcPr>
          <w:p w14:paraId="219218F8" w14:textId="5759A6BF" w:rsidR="00866157" w:rsidRDefault="00D06D6B" w:rsidP="005F3E78">
            <w:pPr>
              <w:tabs>
                <w:tab w:val="left" w:pos="6540"/>
              </w:tabs>
              <w:rPr>
                <w:lang w:val="en-CA"/>
              </w:rPr>
            </w:pPr>
            <w:r w:rsidRPr="00D06D6B">
              <w:rPr>
                <w:lang w:val="en-CA"/>
              </w:rPr>
              <w:t>Read/Write</w:t>
            </w:r>
          </w:p>
        </w:tc>
      </w:tr>
    </w:tbl>
    <w:p w14:paraId="0307AD61" w14:textId="77777777" w:rsidR="00866157" w:rsidRDefault="00866157" w:rsidP="007D590F">
      <w:pPr>
        <w:tabs>
          <w:tab w:val="left" w:pos="6540"/>
        </w:tabs>
        <w:rPr>
          <w:lang w:val="en-CA"/>
        </w:rPr>
      </w:pPr>
    </w:p>
    <w:sectPr w:rsidR="00866157" w:rsidSect="007F7991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58CC" w14:textId="77777777" w:rsidR="00DA4EE3" w:rsidRDefault="00DA4EE3" w:rsidP="005D51DD">
      <w:pPr>
        <w:spacing w:after="0" w:line="240" w:lineRule="auto"/>
      </w:pPr>
      <w:r>
        <w:separator/>
      </w:r>
    </w:p>
  </w:endnote>
  <w:endnote w:type="continuationSeparator" w:id="0">
    <w:p w14:paraId="3C823A23" w14:textId="77777777" w:rsidR="00DA4EE3" w:rsidRDefault="00DA4EE3" w:rsidP="005D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005EB8"/>
        <w:insideH w:val="single" w:sz="18" w:space="0" w:color="808080"/>
        <w:insideV w:val="single" w:sz="18" w:space="0" w:color="005EB8"/>
      </w:tblBorders>
      <w:tblLook w:val="04A0" w:firstRow="1" w:lastRow="0" w:firstColumn="1" w:lastColumn="0" w:noHBand="0" w:noVBand="1"/>
    </w:tblPr>
    <w:tblGrid>
      <w:gridCol w:w="955"/>
      <w:gridCol w:w="8261"/>
    </w:tblGrid>
    <w:tr w:rsidR="00244FD5" w:rsidRPr="00D75370" w14:paraId="7EAF7371" w14:textId="77777777" w:rsidTr="00244FD5">
      <w:tc>
        <w:tcPr>
          <w:tcW w:w="918" w:type="dxa"/>
        </w:tcPr>
        <w:p w14:paraId="64072C00" w14:textId="77777777" w:rsidR="00244FD5" w:rsidRPr="00A8026D" w:rsidRDefault="00244FD5" w:rsidP="00244FD5">
          <w:pPr>
            <w:tabs>
              <w:tab w:val="center" w:pos="4680"/>
              <w:tab w:val="right" w:pos="9360"/>
            </w:tabs>
            <w:spacing w:before="60" w:after="0" w:line="240" w:lineRule="auto"/>
            <w:jc w:val="right"/>
            <w:rPr>
              <w:rFonts w:eastAsia="Times New Roman" w:cs="Arial"/>
              <w:b/>
              <w:sz w:val="20"/>
              <w:szCs w:val="20"/>
            </w:rPr>
          </w:pPr>
          <w:r w:rsidRPr="00A8026D">
            <w:rPr>
              <w:rFonts w:eastAsia="Times New Roman" w:cs="Arial"/>
              <w:b/>
              <w:sz w:val="20"/>
              <w:szCs w:val="20"/>
            </w:rPr>
            <w:fldChar w:fldCharType="begin"/>
          </w:r>
          <w:r w:rsidRPr="00A8026D">
            <w:rPr>
              <w:rFonts w:eastAsia="Times New Roman" w:cs="Arial"/>
              <w:b/>
              <w:sz w:val="20"/>
              <w:szCs w:val="20"/>
            </w:rPr>
            <w:instrText xml:space="preserve"> PAGE   \* MERGEFORMAT </w:instrText>
          </w:r>
          <w:r w:rsidRPr="00A8026D">
            <w:rPr>
              <w:rFonts w:eastAsia="Times New Roman" w:cs="Arial"/>
              <w:b/>
              <w:sz w:val="20"/>
              <w:szCs w:val="20"/>
            </w:rPr>
            <w:fldChar w:fldCharType="separate"/>
          </w:r>
          <w:r w:rsidR="007D590F">
            <w:rPr>
              <w:rFonts w:eastAsia="Times New Roman" w:cs="Arial"/>
              <w:b/>
              <w:noProof/>
              <w:sz w:val="20"/>
              <w:szCs w:val="20"/>
            </w:rPr>
            <w:t>1</w:t>
          </w:r>
          <w:r w:rsidRPr="00A8026D">
            <w:rPr>
              <w:rFonts w:eastAsia="Times New Roman" w:cs="Arial"/>
              <w:b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022FE7D3" w14:textId="1C197B12" w:rsidR="00244FD5" w:rsidRPr="00D75370" w:rsidRDefault="00AE2975" w:rsidP="00244FD5">
          <w:pPr>
            <w:tabs>
              <w:tab w:val="center" w:pos="4680"/>
              <w:tab w:val="right" w:pos="9360"/>
            </w:tabs>
            <w:spacing w:before="60" w:after="60" w:line="240" w:lineRule="auto"/>
            <w:rPr>
              <w:rFonts w:eastAsia="Times New Roman" w:cs="Arial"/>
              <w:b/>
              <w:sz w:val="20"/>
              <w:szCs w:val="20"/>
            </w:rPr>
          </w:pPr>
          <w:r>
            <w:rPr>
              <w:rFonts w:eastAsia="Times New Roman" w:cs="Arial"/>
              <w:b/>
              <w:sz w:val="20"/>
              <w:szCs w:val="20"/>
            </w:rPr>
            <w:t xml:space="preserve">ICT: </w:t>
          </w:r>
          <w:r w:rsidR="00910D53" w:rsidRPr="00910D53">
            <w:rPr>
              <w:rFonts w:eastAsia="Times New Roman" w:cs="Arial"/>
              <w:b/>
              <w:sz w:val="20"/>
              <w:szCs w:val="20"/>
            </w:rPr>
            <w:t>Security Policies and Operations</w:t>
          </w:r>
        </w:p>
        <w:p w14:paraId="02DD4BBE" w14:textId="77777777" w:rsidR="00244FD5" w:rsidRPr="00D75370" w:rsidRDefault="00244FD5" w:rsidP="00AB3057">
          <w:pPr>
            <w:spacing w:after="0"/>
            <w:rPr>
              <w:rFonts w:eastAsia="Times New Roman" w:cs="Arial"/>
              <w:sz w:val="20"/>
              <w:szCs w:val="20"/>
            </w:rPr>
          </w:pPr>
          <w:r w:rsidRPr="00D75370">
            <w:rPr>
              <w:rFonts w:eastAsia="Times New Roman" w:cs="Arial"/>
              <w:sz w:val="20"/>
              <w:szCs w:val="20"/>
            </w:rPr>
            <w:t>© 201</w:t>
          </w:r>
          <w:r w:rsidR="00AB3057">
            <w:rPr>
              <w:rFonts w:eastAsia="Times New Roman" w:cs="Arial"/>
              <w:sz w:val="20"/>
              <w:szCs w:val="20"/>
            </w:rPr>
            <w:t>7</w:t>
          </w:r>
          <w:r w:rsidRPr="00D75370">
            <w:rPr>
              <w:rFonts w:eastAsia="Times New Roman" w:cs="Arial"/>
              <w:sz w:val="20"/>
              <w:szCs w:val="20"/>
            </w:rPr>
            <w:t>, Southern Alberta Institute of Technology</w:t>
          </w:r>
        </w:p>
      </w:tc>
    </w:tr>
  </w:tbl>
  <w:p w14:paraId="2BECA877" w14:textId="77777777" w:rsidR="00244FD5" w:rsidRDefault="002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C9650" w14:textId="77777777" w:rsidR="00DA4EE3" w:rsidRDefault="00DA4EE3" w:rsidP="005D51DD">
      <w:pPr>
        <w:spacing w:after="0" w:line="240" w:lineRule="auto"/>
      </w:pPr>
      <w:r>
        <w:separator/>
      </w:r>
    </w:p>
  </w:footnote>
  <w:footnote w:type="continuationSeparator" w:id="0">
    <w:p w14:paraId="00FE9E88" w14:textId="77777777" w:rsidR="00DA4EE3" w:rsidRDefault="00DA4EE3" w:rsidP="005D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6F5D" w14:textId="21A78F98" w:rsidR="00244FD5" w:rsidRPr="00155FC6" w:rsidRDefault="00244FD5" w:rsidP="00965128">
    <w:pPr>
      <w:pStyle w:val="Title"/>
      <w:spacing w:after="0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AB19AFD" wp14:editId="4A939F1F">
          <wp:simplePos x="0" y="0"/>
          <wp:positionH relativeFrom="column">
            <wp:posOffset>-114300</wp:posOffset>
          </wp:positionH>
          <wp:positionV relativeFrom="paragraph">
            <wp:posOffset>-292100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13D1">
      <w:rPr>
        <w:noProof/>
        <w:lang w:val="en-CA" w:eastAsia="zh-TW"/>
      </w:rPr>
      <w:t>Security Model Matrix</w:t>
    </w:r>
    <w:r w:rsidR="00910D53">
      <w:rPr>
        <w:noProof/>
        <w:lang w:val="en-CA" w:eastAsia="zh-TW"/>
      </w:rPr>
      <w:t xml:space="preserve"> Assignment</w:t>
    </w:r>
  </w:p>
  <w:p w14:paraId="137FF9A3" w14:textId="77777777" w:rsidR="00244FD5" w:rsidRDefault="00DA4EE3" w:rsidP="00965128">
    <w:r>
      <w:pict w14:anchorId="1C4C3F7B">
        <v:rect id="_x0000_i1025" style="width:468pt;height:2pt" o:hralign="center" o:hrstd="t" o:hrnoshade="t" o:hr="t" fillcolor="#005eb8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B6D"/>
    <w:multiLevelType w:val="hybridMultilevel"/>
    <w:tmpl w:val="AD30B4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BF8"/>
    <w:multiLevelType w:val="hybridMultilevel"/>
    <w:tmpl w:val="CC66D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050D"/>
    <w:multiLevelType w:val="hybridMultilevel"/>
    <w:tmpl w:val="F550B4BA"/>
    <w:lvl w:ilvl="0" w:tplc="3D182B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10141"/>
    <w:multiLevelType w:val="hybridMultilevel"/>
    <w:tmpl w:val="7F58DA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157E"/>
    <w:multiLevelType w:val="hybridMultilevel"/>
    <w:tmpl w:val="7D98B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7BA9"/>
    <w:multiLevelType w:val="hybridMultilevel"/>
    <w:tmpl w:val="E00EF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13DC8"/>
    <w:multiLevelType w:val="hybridMultilevel"/>
    <w:tmpl w:val="9EF0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0227"/>
    <w:multiLevelType w:val="hybridMultilevel"/>
    <w:tmpl w:val="2DA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9126">
    <w:abstractNumId w:val="6"/>
  </w:num>
  <w:num w:numId="2" w16cid:durableId="921984080">
    <w:abstractNumId w:val="7"/>
  </w:num>
  <w:num w:numId="3" w16cid:durableId="219096130">
    <w:abstractNumId w:val="2"/>
  </w:num>
  <w:num w:numId="4" w16cid:durableId="305819403">
    <w:abstractNumId w:val="1"/>
  </w:num>
  <w:num w:numId="5" w16cid:durableId="1347486806">
    <w:abstractNumId w:val="0"/>
  </w:num>
  <w:num w:numId="6" w16cid:durableId="1630744621">
    <w:abstractNumId w:val="3"/>
  </w:num>
  <w:num w:numId="7" w16cid:durableId="1008213841">
    <w:abstractNumId w:val="5"/>
  </w:num>
  <w:num w:numId="8" w16cid:durableId="469058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696"/>
    <w:rsid w:val="000116A5"/>
    <w:rsid w:val="000336C2"/>
    <w:rsid w:val="00056093"/>
    <w:rsid w:val="00074175"/>
    <w:rsid w:val="00084444"/>
    <w:rsid w:val="00084685"/>
    <w:rsid w:val="00087E05"/>
    <w:rsid w:val="000A22DB"/>
    <w:rsid w:val="000C4686"/>
    <w:rsid w:val="000E32EC"/>
    <w:rsid w:val="000F1E0F"/>
    <w:rsid w:val="001126D7"/>
    <w:rsid w:val="00113920"/>
    <w:rsid w:val="0014255F"/>
    <w:rsid w:val="001475F9"/>
    <w:rsid w:val="00174408"/>
    <w:rsid w:val="001D46EB"/>
    <w:rsid w:val="001E725A"/>
    <w:rsid w:val="0020260E"/>
    <w:rsid w:val="002076B0"/>
    <w:rsid w:val="002114BC"/>
    <w:rsid w:val="00225A5E"/>
    <w:rsid w:val="00227398"/>
    <w:rsid w:val="00233DE7"/>
    <w:rsid w:val="00244FD5"/>
    <w:rsid w:val="0026428B"/>
    <w:rsid w:val="00265057"/>
    <w:rsid w:val="002774F9"/>
    <w:rsid w:val="00280B8B"/>
    <w:rsid w:val="00291615"/>
    <w:rsid w:val="00296957"/>
    <w:rsid w:val="002A7BB6"/>
    <w:rsid w:val="002B2274"/>
    <w:rsid w:val="002C1DCF"/>
    <w:rsid w:val="002C456B"/>
    <w:rsid w:val="002C5A46"/>
    <w:rsid w:val="002C62DD"/>
    <w:rsid w:val="002D38A0"/>
    <w:rsid w:val="002D4271"/>
    <w:rsid w:val="002E3607"/>
    <w:rsid w:val="002E6160"/>
    <w:rsid w:val="00306A10"/>
    <w:rsid w:val="0036015F"/>
    <w:rsid w:val="00386A17"/>
    <w:rsid w:val="00392912"/>
    <w:rsid w:val="003C4C0A"/>
    <w:rsid w:val="003F77AA"/>
    <w:rsid w:val="00404A41"/>
    <w:rsid w:val="0040657C"/>
    <w:rsid w:val="004132F2"/>
    <w:rsid w:val="004151EB"/>
    <w:rsid w:val="004415BC"/>
    <w:rsid w:val="00447E41"/>
    <w:rsid w:val="0046388F"/>
    <w:rsid w:val="004661FC"/>
    <w:rsid w:val="00482D02"/>
    <w:rsid w:val="004B3067"/>
    <w:rsid w:val="004C5C1B"/>
    <w:rsid w:val="004C7B17"/>
    <w:rsid w:val="00503D78"/>
    <w:rsid w:val="00514167"/>
    <w:rsid w:val="00515A47"/>
    <w:rsid w:val="00534370"/>
    <w:rsid w:val="00543FC9"/>
    <w:rsid w:val="00556B1B"/>
    <w:rsid w:val="005711C5"/>
    <w:rsid w:val="00572ABF"/>
    <w:rsid w:val="005819D5"/>
    <w:rsid w:val="00583B40"/>
    <w:rsid w:val="00585350"/>
    <w:rsid w:val="00596DB1"/>
    <w:rsid w:val="005A01FB"/>
    <w:rsid w:val="005B014D"/>
    <w:rsid w:val="005B79F4"/>
    <w:rsid w:val="005D51DD"/>
    <w:rsid w:val="005F3E78"/>
    <w:rsid w:val="00602082"/>
    <w:rsid w:val="00617872"/>
    <w:rsid w:val="0062643C"/>
    <w:rsid w:val="00626C84"/>
    <w:rsid w:val="00632F81"/>
    <w:rsid w:val="0064523F"/>
    <w:rsid w:val="00650FD1"/>
    <w:rsid w:val="00657609"/>
    <w:rsid w:val="00661BD2"/>
    <w:rsid w:val="00670891"/>
    <w:rsid w:val="006712A1"/>
    <w:rsid w:val="00682BA8"/>
    <w:rsid w:val="00690F43"/>
    <w:rsid w:val="006A0389"/>
    <w:rsid w:val="006B097A"/>
    <w:rsid w:val="006B40CE"/>
    <w:rsid w:val="006C4759"/>
    <w:rsid w:val="006D3DF3"/>
    <w:rsid w:val="00700897"/>
    <w:rsid w:val="00702AE9"/>
    <w:rsid w:val="00726A06"/>
    <w:rsid w:val="00740D07"/>
    <w:rsid w:val="00754ED5"/>
    <w:rsid w:val="00767696"/>
    <w:rsid w:val="0077547D"/>
    <w:rsid w:val="007769D8"/>
    <w:rsid w:val="0079106E"/>
    <w:rsid w:val="00791F4A"/>
    <w:rsid w:val="007A1212"/>
    <w:rsid w:val="007C5974"/>
    <w:rsid w:val="007C6C71"/>
    <w:rsid w:val="007D57C4"/>
    <w:rsid w:val="007D590F"/>
    <w:rsid w:val="007F3CAB"/>
    <w:rsid w:val="007F7991"/>
    <w:rsid w:val="008160B3"/>
    <w:rsid w:val="00820041"/>
    <w:rsid w:val="00825F00"/>
    <w:rsid w:val="00830EE7"/>
    <w:rsid w:val="00834EAE"/>
    <w:rsid w:val="00856AF4"/>
    <w:rsid w:val="008574B5"/>
    <w:rsid w:val="00860499"/>
    <w:rsid w:val="0086381A"/>
    <w:rsid w:val="00866157"/>
    <w:rsid w:val="00866339"/>
    <w:rsid w:val="008818A4"/>
    <w:rsid w:val="008924F7"/>
    <w:rsid w:val="008A6450"/>
    <w:rsid w:val="008B3E78"/>
    <w:rsid w:val="008B746C"/>
    <w:rsid w:val="008F63E5"/>
    <w:rsid w:val="00910D53"/>
    <w:rsid w:val="0092617E"/>
    <w:rsid w:val="00946284"/>
    <w:rsid w:val="00955088"/>
    <w:rsid w:val="00957EE4"/>
    <w:rsid w:val="00962F8E"/>
    <w:rsid w:val="00965128"/>
    <w:rsid w:val="009703BF"/>
    <w:rsid w:val="0098092C"/>
    <w:rsid w:val="00983D61"/>
    <w:rsid w:val="00987DBD"/>
    <w:rsid w:val="009A0483"/>
    <w:rsid w:val="009B5806"/>
    <w:rsid w:val="009C2C25"/>
    <w:rsid w:val="009C42FD"/>
    <w:rsid w:val="009C5A6E"/>
    <w:rsid w:val="009D2214"/>
    <w:rsid w:val="009E3B6E"/>
    <w:rsid w:val="009F15BF"/>
    <w:rsid w:val="009F1A2D"/>
    <w:rsid w:val="00A05DF8"/>
    <w:rsid w:val="00A22FA3"/>
    <w:rsid w:val="00A243D8"/>
    <w:rsid w:val="00A27268"/>
    <w:rsid w:val="00A279AE"/>
    <w:rsid w:val="00A435CB"/>
    <w:rsid w:val="00A506CA"/>
    <w:rsid w:val="00A624FD"/>
    <w:rsid w:val="00A62872"/>
    <w:rsid w:val="00A67DAB"/>
    <w:rsid w:val="00A70DA6"/>
    <w:rsid w:val="00A8026D"/>
    <w:rsid w:val="00A82EF1"/>
    <w:rsid w:val="00A87334"/>
    <w:rsid w:val="00A873CB"/>
    <w:rsid w:val="00A93CB9"/>
    <w:rsid w:val="00AA3657"/>
    <w:rsid w:val="00AB3057"/>
    <w:rsid w:val="00AB5B27"/>
    <w:rsid w:val="00AC78D8"/>
    <w:rsid w:val="00AD0DCE"/>
    <w:rsid w:val="00AD1A89"/>
    <w:rsid w:val="00AD3C87"/>
    <w:rsid w:val="00AD6F4E"/>
    <w:rsid w:val="00AE2975"/>
    <w:rsid w:val="00AE773E"/>
    <w:rsid w:val="00AF0FCC"/>
    <w:rsid w:val="00AF7983"/>
    <w:rsid w:val="00B1774D"/>
    <w:rsid w:val="00B17ACC"/>
    <w:rsid w:val="00B513D1"/>
    <w:rsid w:val="00B5369F"/>
    <w:rsid w:val="00B56172"/>
    <w:rsid w:val="00B573C3"/>
    <w:rsid w:val="00B826D0"/>
    <w:rsid w:val="00B87F0E"/>
    <w:rsid w:val="00B9195F"/>
    <w:rsid w:val="00B919CA"/>
    <w:rsid w:val="00BA33BE"/>
    <w:rsid w:val="00BA45C2"/>
    <w:rsid w:val="00BB18E3"/>
    <w:rsid w:val="00BB3DB9"/>
    <w:rsid w:val="00BB5F94"/>
    <w:rsid w:val="00BC2CD1"/>
    <w:rsid w:val="00BE0A38"/>
    <w:rsid w:val="00C216DB"/>
    <w:rsid w:val="00C267F6"/>
    <w:rsid w:val="00C346C6"/>
    <w:rsid w:val="00C4143C"/>
    <w:rsid w:val="00C42EB0"/>
    <w:rsid w:val="00C5208E"/>
    <w:rsid w:val="00C5677F"/>
    <w:rsid w:val="00C60161"/>
    <w:rsid w:val="00C74E41"/>
    <w:rsid w:val="00C84CB7"/>
    <w:rsid w:val="00C862C8"/>
    <w:rsid w:val="00CA5492"/>
    <w:rsid w:val="00CE3B7A"/>
    <w:rsid w:val="00CE6CDB"/>
    <w:rsid w:val="00D04ABA"/>
    <w:rsid w:val="00D065CC"/>
    <w:rsid w:val="00D06D6B"/>
    <w:rsid w:val="00D36788"/>
    <w:rsid w:val="00D646C5"/>
    <w:rsid w:val="00D667C4"/>
    <w:rsid w:val="00D73F90"/>
    <w:rsid w:val="00D752A3"/>
    <w:rsid w:val="00D81C06"/>
    <w:rsid w:val="00D87145"/>
    <w:rsid w:val="00DA0745"/>
    <w:rsid w:val="00DA4EE3"/>
    <w:rsid w:val="00DB455F"/>
    <w:rsid w:val="00E03823"/>
    <w:rsid w:val="00E1231B"/>
    <w:rsid w:val="00E55CD0"/>
    <w:rsid w:val="00E76BE0"/>
    <w:rsid w:val="00E91529"/>
    <w:rsid w:val="00EA5516"/>
    <w:rsid w:val="00EB09AE"/>
    <w:rsid w:val="00EB3660"/>
    <w:rsid w:val="00EB4F48"/>
    <w:rsid w:val="00EB6471"/>
    <w:rsid w:val="00EC0702"/>
    <w:rsid w:val="00ED21BF"/>
    <w:rsid w:val="00ED2308"/>
    <w:rsid w:val="00ED30FD"/>
    <w:rsid w:val="00F16DB3"/>
    <w:rsid w:val="00F23284"/>
    <w:rsid w:val="00F23C0C"/>
    <w:rsid w:val="00F31B56"/>
    <w:rsid w:val="00F40C47"/>
    <w:rsid w:val="00F41213"/>
    <w:rsid w:val="00F53FF1"/>
    <w:rsid w:val="00F613C0"/>
    <w:rsid w:val="00F7191A"/>
    <w:rsid w:val="00F75249"/>
    <w:rsid w:val="00F97715"/>
    <w:rsid w:val="00FA7670"/>
    <w:rsid w:val="00FC181F"/>
    <w:rsid w:val="00FC2BC9"/>
    <w:rsid w:val="00FC3CCD"/>
    <w:rsid w:val="00FC50DE"/>
    <w:rsid w:val="00FD75DA"/>
    <w:rsid w:val="00FE1123"/>
    <w:rsid w:val="00FE21BB"/>
    <w:rsid w:val="00FE2CEE"/>
    <w:rsid w:val="00FE2F2D"/>
    <w:rsid w:val="00FF4718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472B1E"/>
  <w15:docId w15:val="{08C63864-2383-4283-BE80-4773A52F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28"/>
    <w:pPr>
      <w:spacing w:after="120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965128"/>
    <w:pPr>
      <w:spacing w:before="120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3">
    <w:name w:val="heading 3"/>
    <w:basedOn w:val="Normal"/>
    <w:link w:val="Heading3Char"/>
    <w:uiPriority w:val="9"/>
    <w:qFormat/>
    <w:rsid w:val="00767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128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67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mall">
    <w:name w:val="small"/>
    <w:basedOn w:val="DefaultParagraphFont"/>
    <w:rsid w:val="00767696"/>
  </w:style>
  <w:style w:type="character" w:customStyle="1" w:styleId="fn">
    <w:name w:val="fn"/>
    <w:basedOn w:val="DefaultParagraphFont"/>
    <w:rsid w:val="00767696"/>
  </w:style>
  <w:style w:type="character" w:styleId="Hyperlink">
    <w:name w:val="Hyperlink"/>
    <w:basedOn w:val="DefaultParagraphFont"/>
    <w:uiPriority w:val="99"/>
    <w:semiHidden/>
    <w:unhideWhenUsed/>
    <w:rsid w:val="00767696"/>
    <w:rPr>
      <w:color w:val="0000FF"/>
      <w:u w:val="single"/>
    </w:rPr>
  </w:style>
  <w:style w:type="character" w:customStyle="1" w:styleId="categories">
    <w:name w:val="categories"/>
    <w:basedOn w:val="DefaultParagraphFont"/>
    <w:rsid w:val="00767696"/>
  </w:style>
  <w:style w:type="paragraph" w:styleId="NormalWeb">
    <w:name w:val="Normal (Web)"/>
    <w:basedOn w:val="Normal"/>
    <w:uiPriority w:val="99"/>
    <w:semiHidden/>
    <w:unhideWhenUsed/>
    <w:rsid w:val="0076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76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DD"/>
  </w:style>
  <w:style w:type="paragraph" w:styleId="Footer">
    <w:name w:val="footer"/>
    <w:basedOn w:val="Normal"/>
    <w:link w:val="FooterChar"/>
    <w:uiPriority w:val="99"/>
    <w:unhideWhenUsed/>
    <w:rsid w:val="005D5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DD"/>
  </w:style>
  <w:style w:type="character" w:styleId="CommentReference">
    <w:name w:val="annotation reference"/>
    <w:basedOn w:val="DefaultParagraphFont"/>
    <w:uiPriority w:val="99"/>
    <w:semiHidden/>
    <w:unhideWhenUsed/>
    <w:rsid w:val="00FD7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5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128"/>
    <w:pPr>
      <w:spacing w:after="300"/>
      <w:jc w:val="right"/>
    </w:pPr>
    <w:rPr>
      <w:rFonts w:eastAsia="Times New Roman" w:cs="Arial"/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965128"/>
    <w:rPr>
      <w:rFonts w:ascii="Arial" w:eastAsia="Times New Roman" w:hAnsi="Arial" w:cs="Arial"/>
      <w:b/>
      <w:smallCaps/>
      <w:sz w:val="32"/>
    </w:rPr>
  </w:style>
  <w:style w:type="table" w:styleId="TableGrid">
    <w:name w:val="Table Grid"/>
    <w:basedOn w:val="TableNormal"/>
    <w:uiPriority w:val="59"/>
    <w:rsid w:val="00B51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26C90-9D1E-473E-B0D6-FE1D9381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coleton sanheim</cp:lastModifiedBy>
  <cp:revision>4</cp:revision>
  <cp:lastPrinted>2014-12-04T20:00:00Z</cp:lastPrinted>
  <dcterms:created xsi:type="dcterms:W3CDTF">2017-05-05T16:47:00Z</dcterms:created>
  <dcterms:modified xsi:type="dcterms:W3CDTF">2022-06-13T23:35:00Z</dcterms:modified>
</cp:coreProperties>
</file>